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F7" w:rsidRDefault="00FF21F7" w:rsidP="00FF21F7">
      <w:pPr>
        <w:jc w:val="center"/>
        <w:rPr>
          <w:rFonts w:ascii="Arial" w:eastAsia="Times New Roman" w:hAnsi="Arial" w:cs="Arial"/>
          <w:b/>
          <w:color w:val="632423"/>
          <w:sz w:val="96"/>
          <w:szCs w:val="96"/>
        </w:rPr>
      </w:pPr>
    </w:p>
    <w:p w:rsidR="00FF21F7" w:rsidRPr="00F337E1" w:rsidRDefault="00FF21F7" w:rsidP="00FF21F7">
      <w:pPr>
        <w:jc w:val="center"/>
        <w:rPr>
          <w:rFonts w:ascii="Arial" w:eastAsia="Times New Roman" w:hAnsi="Arial" w:cs="Arial"/>
          <w:b/>
          <w:color w:val="632423"/>
          <w:sz w:val="96"/>
          <w:szCs w:val="96"/>
        </w:rPr>
      </w:pPr>
      <w:r>
        <w:rPr>
          <w:rFonts w:ascii="Arial" w:eastAsia="Times New Roman" w:hAnsi="Arial" w:cs="Arial"/>
          <w:b/>
          <w:color w:val="632423"/>
          <w:sz w:val="96"/>
          <w:szCs w:val="96"/>
        </w:rPr>
        <w:t xml:space="preserve"> </w:t>
      </w:r>
      <w:r w:rsidRPr="00F337E1">
        <w:rPr>
          <w:rFonts w:ascii="Arial" w:eastAsia="Times New Roman" w:hAnsi="Arial" w:cs="Arial"/>
          <w:b/>
          <w:color w:val="632423"/>
          <w:sz w:val="96"/>
          <w:szCs w:val="96"/>
        </w:rPr>
        <w:t>İNŞAAT SEKTÖRÜ ANALİZİ</w:t>
      </w:r>
    </w:p>
    <w:p w:rsidR="00FF21F7" w:rsidRPr="00084849" w:rsidRDefault="00FF21F7" w:rsidP="00FF21F7">
      <w:pPr>
        <w:jc w:val="center"/>
        <w:rPr>
          <w:rFonts w:ascii="Arial" w:eastAsia="Times New Roman" w:hAnsi="Arial" w:cs="Arial"/>
          <w:b/>
          <w:color w:val="632423"/>
          <w:sz w:val="32"/>
          <w:szCs w:val="32"/>
        </w:rPr>
      </w:pPr>
    </w:p>
    <w:p w:rsidR="0016079D" w:rsidRDefault="0016079D" w:rsidP="0016079D">
      <w:pPr>
        <w:autoSpaceDE w:val="0"/>
        <w:autoSpaceDN w:val="0"/>
        <w:adjustRightInd w:val="0"/>
        <w:spacing w:after="0" w:line="240" w:lineRule="auto"/>
        <w:jc w:val="center"/>
        <w:rPr>
          <w:rFonts w:eastAsia="Times New Roman" w:cs="Calibri"/>
          <w:b/>
          <w:i/>
          <w:color w:val="632423"/>
          <w:sz w:val="48"/>
          <w:szCs w:val="48"/>
        </w:rPr>
      </w:pPr>
    </w:p>
    <w:p w:rsidR="0016079D" w:rsidRDefault="0016079D" w:rsidP="0016079D">
      <w:pPr>
        <w:autoSpaceDE w:val="0"/>
        <w:autoSpaceDN w:val="0"/>
        <w:adjustRightInd w:val="0"/>
        <w:spacing w:after="0" w:line="240" w:lineRule="auto"/>
        <w:jc w:val="center"/>
        <w:rPr>
          <w:rFonts w:eastAsia="Times New Roman" w:cs="Calibri"/>
          <w:b/>
          <w:i/>
          <w:color w:val="632423"/>
          <w:sz w:val="48"/>
          <w:szCs w:val="48"/>
        </w:rPr>
      </w:pPr>
      <w:r>
        <w:rPr>
          <w:rFonts w:eastAsia="Times New Roman" w:cs="Calibri"/>
          <w:b/>
          <w:i/>
          <w:color w:val="632423"/>
          <w:sz w:val="48"/>
          <w:szCs w:val="48"/>
        </w:rPr>
        <w:t>2019 Yılı Beklenenden Zor Geçiyor</w:t>
      </w:r>
    </w:p>
    <w:p w:rsidR="00FF21F7" w:rsidRDefault="00FF21F7" w:rsidP="00FF21F7">
      <w:pPr>
        <w:autoSpaceDE w:val="0"/>
        <w:autoSpaceDN w:val="0"/>
        <w:adjustRightInd w:val="0"/>
        <w:spacing w:after="0" w:line="240" w:lineRule="auto"/>
        <w:jc w:val="center"/>
        <w:rPr>
          <w:rFonts w:eastAsia="Times New Roman" w:cs="Calibri"/>
          <w:b/>
          <w:i/>
          <w:color w:val="632423"/>
          <w:sz w:val="48"/>
          <w:szCs w:val="48"/>
        </w:rPr>
      </w:pPr>
    </w:p>
    <w:p w:rsidR="00D66302" w:rsidRDefault="00D66302" w:rsidP="00FF21F7">
      <w:pPr>
        <w:autoSpaceDE w:val="0"/>
        <w:autoSpaceDN w:val="0"/>
        <w:adjustRightInd w:val="0"/>
        <w:spacing w:after="0" w:line="240" w:lineRule="auto"/>
        <w:jc w:val="center"/>
        <w:rPr>
          <w:rFonts w:eastAsia="Times New Roman" w:cs="Calibri"/>
          <w:b/>
          <w:i/>
          <w:color w:val="632423"/>
          <w:sz w:val="48"/>
          <w:szCs w:val="48"/>
        </w:rPr>
      </w:pPr>
    </w:p>
    <w:p w:rsidR="00FF21F7" w:rsidRDefault="00FF21F7" w:rsidP="00FF21F7">
      <w:pPr>
        <w:jc w:val="center"/>
        <w:rPr>
          <w:rFonts w:ascii="Arial" w:eastAsia="Times New Roman" w:hAnsi="Arial" w:cs="Arial"/>
          <w:b/>
          <w:color w:val="632423"/>
          <w:sz w:val="32"/>
          <w:szCs w:val="32"/>
        </w:rPr>
      </w:pPr>
    </w:p>
    <w:p w:rsidR="00FF21F7" w:rsidRDefault="00FF21F7" w:rsidP="00FF21F7">
      <w:pPr>
        <w:rPr>
          <w:rFonts w:ascii="Arial" w:eastAsia="Times New Roman" w:hAnsi="Arial" w:cs="Arial"/>
          <w:b/>
          <w:color w:val="632423"/>
          <w:sz w:val="32"/>
          <w:szCs w:val="32"/>
        </w:rPr>
      </w:pPr>
    </w:p>
    <w:p w:rsidR="00FF21F7" w:rsidRDefault="00FF21F7" w:rsidP="00FF21F7">
      <w:pPr>
        <w:rPr>
          <w:rFonts w:ascii="Arial" w:eastAsia="Times New Roman" w:hAnsi="Arial" w:cs="Arial"/>
          <w:b/>
          <w:color w:val="632423"/>
          <w:sz w:val="48"/>
          <w:szCs w:val="48"/>
        </w:rPr>
      </w:pPr>
    </w:p>
    <w:p w:rsidR="00FF21F7" w:rsidRDefault="00FF21F7" w:rsidP="00FF21F7">
      <w:pPr>
        <w:rPr>
          <w:rFonts w:ascii="Arial" w:eastAsia="Times New Roman" w:hAnsi="Arial" w:cs="Arial"/>
          <w:b/>
          <w:color w:val="632423"/>
          <w:sz w:val="48"/>
          <w:szCs w:val="48"/>
        </w:rPr>
      </w:pPr>
    </w:p>
    <w:p w:rsidR="00FF21F7" w:rsidRDefault="00FF21F7" w:rsidP="00FF21F7">
      <w:pPr>
        <w:rPr>
          <w:rFonts w:ascii="Arial" w:eastAsia="Times New Roman" w:hAnsi="Arial" w:cs="Arial"/>
          <w:b/>
          <w:color w:val="632423"/>
          <w:sz w:val="48"/>
          <w:szCs w:val="48"/>
        </w:rPr>
      </w:pPr>
    </w:p>
    <w:p w:rsidR="00CB450E" w:rsidRDefault="00CB450E" w:rsidP="00FF21F7">
      <w:pPr>
        <w:rPr>
          <w:rFonts w:ascii="Arial" w:eastAsia="Times New Roman" w:hAnsi="Arial" w:cs="Arial"/>
          <w:b/>
          <w:color w:val="632423"/>
          <w:sz w:val="48"/>
          <w:szCs w:val="48"/>
        </w:rPr>
      </w:pPr>
    </w:p>
    <w:p w:rsidR="00FF21F7" w:rsidRPr="00B169D2" w:rsidRDefault="00FF21F7" w:rsidP="00FF21F7">
      <w:pPr>
        <w:spacing w:after="0" w:line="240" w:lineRule="auto"/>
        <w:jc w:val="center"/>
        <w:rPr>
          <w:rFonts w:ascii="Arial" w:eastAsia="Times New Roman" w:hAnsi="Arial" w:cs="Arial"/>
          <w:b/>
          <w:color w:val="632423"/>
          <w:sz w:val="40"/>
          <w:szCs w:val="40"/>
        </w:rPr>
      </w:pPr>
      <w:r w:rsidRPr="00B169D2">
        <w:rPr>
          <w:rFonts w:ascii="Arial" w:eastAsia="Times New Roman" w:hAnsi="Arial" w:cs="Arial"/>
          <w:b/>
          <w:color w:val="632423"/>
          <w:sz w:val="40"/>
          <w:szCs w:val="40"/>
        </w:rPr>
        <w:t>Dünya - Türkiye - İnşaat Sektörü</w:t>
      </w:r>
      <w:bookmarkStart w:id="0" w:name="2"/>
      <w:bookmarkStart w:id="1" w:name="3"/>
      <w:bookmarkStart w:id="2" w:name="4"/>
      <w:bookmarkStart w:id="3" w:name="5"/>
      <w:bookmarkStart w:id="4" w:name="6"/>
      <w:bookmarkStart w:id="5" w:name="7"/>
      <w:bookmarkStart w:id="6" w:name="8"/>
      <w:bookmarkStart w:id="7" w:name="9"/>
      <w:bookmarkStart w:id="8" w:name="10"/>
      <w:bookmarkStart w:id="9" w:name="11"/>
      <w:bookmarkStart w:id="10" w:name="12"/>
      <w:bookmarkStart w:id="11" w:name="13"/>
      <w:bookmarkStart w:id="12" w:name="14"/>
      <w:bookmarkStart w:id="13" w:name="15"/>
      <w:bookmarkStart w:id="14" w:name="16"/>
      <w:bookmarkStart w:id="15" w:name="17"/>
      <w:bookmarkStart w:id="16" w:name="18"/>
      <w:bookmarkStart w:id="17" w:name="19"/>
      <w:bookmarkStart w:id="18" w:name="20"/>
      <w:bookmarkStart w:id="19" w:name="21"/>
      <w:bookmarkStart w:id="20" w:name="2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FF21F7" w:rsidRPr="00B169D2" w:rsidRDefault="00FF21F7" w:rsidP="00FF21F7">
      <w:pPr>
        <w:jc w:val="center"/>
        <w:rPr>
          <w:rFonts w:ascii="Arial" w:eastAsia="Times New Roman" w:hAnsi="Arial" w:cs="Arial"/>
          <w:b/>
          <w:color w:val="632423"/>
          <w:sz w:val="35"/>
          <w:szCs w:val="35"/>
        </w:rPr>
      </w:pPr>
      <w:r>
        <w:rPr>
          <w:rFonts w:ascii="Arial" w:eastAsia="Times New Roman" w:hAnsi="Arial" w:cs="Arial"/>
          <w:b/>
          <w:color w:val="632423"/>
          <w:sz w:val="35"/>
          <w:szCs w:val="35"/>
        </w:rPr>
        <w:t>Ekim</w:t>
      </w:r>
      <w:r w:rsidRPr="00E9792E">
        <w:rPr>
          <w:rFonts w:ascii="Arial" w:eastAsia="Times New Roman" w:hAnsi="Arial" w:cs="Arial"/>
          <w:b/>
          <w:color w:val="632423"/>
          <w:sz w:val="35"/>
          <w:szCs w:val="35"/>
        </w:rPr>
        <w:t xml:space="preserve"> 2019</w:t>
      </w:r>
    </w:p>
    <w:p w:rsidR="00FF21F7" w:rsidRDefault="00FF21F7" w:rsidP="00FF21F7">
      <w:pPr>
        <w:spacing w:after="0" w:line="240" w:lineRule="auto"/>
        <w:jc w:val="center"/>
        <w:rPr>
          <w:rFonts w:ascii="Arial" w:eastAsia="Times New Roman" w:hAnsi="Arial" w:cs="Arial"/>
          <w:b/>
          <w:color w:val="632423"/>
          <w:sz w:val="36"/>
          <w:szCs w:val="36"/>
        </w:rPr>
      </w:pPr>
      <w:r w:rsidRPr="00B169D2">
        <w:rPr>
          <w:rFonts w:ascii="Arial" w:eastAsia="Times New Roman" w:hAnsi="Arial" w:cs="Arial"/>
          <w:b/>
          <w:color w:val="632423"/>
          <w:sz w:val="36"/>
          <w:szCs w:val="36"/>
        </w:rPr>
        <w:t>TÜRKİYE MÜTEAHHİTLER BİRLİĞİ</w:t>
      </w:r>
    </w:p>
    <w:p w:rsidR="00402F30" w:rsidRDefault="00402F30" w:rsidP="00FF21F7">
      <w:pPr>
        <w:spacing w:after="0" w:line="240" w:lineRule="auto"/>
        <w:jc w:val="center"/>
        <w:rPr>
          <w:rFonts w:ascii="Arial" w:eastAsia="Times New Roman" w:hAnsi="Arial" w:cs="Arial"/>
          <w:b/>
          <w:color w:val="632423"/>
          <w:sz w:val="36"/>
          <w:szCs w:val="36"/>
        </w:rPr>
      </w:pPr>
    </w:p>
    <w:p w:rsidR="007C2A93" w:rsidRDefault="007C2A93" w:rsidP="009448CC">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rPr>
      </w:pPr>
      <w:r>
        <w:rPr>
          <w:rFonts w:eastAsia="Times New Roman" w:cstheme="minorHAnsi"/>
        </w:rPr>
        <w:lastRenderedPageBreak/>
        <w:t>B</w:t>
      </w:r>
      <w:r w:rsidRPr="007C2A93">
        <w:rPr>
          <w:rFonts w:eastAsia="Times New Roman" w:cstheme="minorHAnsi"/>
        </w:rPr>
        <w:t>u çok yanlış</w:t>
      </w:r>
      <w:r>
        <w:rPr>
          <w:rFonts w:eastAsia="Times New Roman" w:cstheme="minorHAnsi"/>
        </w:rPr>
        <w:t>, burada olmamalıydım. O</w:t>
      </w:r>
      <w:r w:rsidRPr="007C2A93">
        <w:rPr>
          <w:rFonts w:eastAsia="Times New Roman" w:cstheme="minorHAnsi"/>
        </w:rPr>
        <w:t xml:space="preserve">kyanusun diğer yakasında bıraktığım okulumda olmalıydım. </w:t>
      </w:r>
      <w:r>
        <w:rPr>
          <w:rFonts w:eastAsia="Times New Roman" w:cstheme="minorHAnsi"/>
        </w:rPr>
        <w:t>S</w:t>
      </w:r>
      <w:r w:rsidRPr="007C2A93">
        <w:rPr>
          <w:rFonts w:eastAsia="Times New Roman" w:cstheme="minorHAnsi"/>
        </w:rPr>
        <w:t>iz yine de biz genç insa</w:t>
      </w:r>
      <w:r>
        <w:rPr>
          <w:rFonts w:eastAsia="Times New Roman" w:cstheme="minorHAnsi"/>
        </w:rPr>
        <w:t>nlardan mı umut bekliyorsunuz? N</w:t>
      </w:r>
      <w:r w:rsidR="00E96DD6">
        <w:rPr>
          <w:rFonts w:eastAsia="Times New Roman" w:cstheme="minorHAnsi"/>
        </w:rPr>
        <w:t xml:space="preserve">e cüretle! İnsanlar acı çekiyor, ölüyor, </w:t>
      </w:r>
      <w:r w:rsidR="00E96DD6" w:rsidRPr="00E96DD6">
        <w:rPr>
          <w:rFonts w:eastAsia="Times New Roman" w:cstheme="minorHAnsi"/>
        </w:rPr>
        <w:t>ekosistemler bü</w:t>
      </w:r>
      <w:r w:rsidR="00E96DD6">
        <w:rPr>
          <w:rFonts w:eastAsia="Times New Roman" w:cstheme="minorHAnsi"/>
        </w:rPr>
        <w:t>tünüyle çöküyor. K</w:t>
      </w:r>
      <w:r w:rsidR="00E96DD6" w:rsidRPr="00E96DD6">
        <w:rPr>
          <w:rFonts w:eastAsia="Times New Roman" w:cstheme="minorHAnsi"/>
        </w:rPr>
        <w:t xml:space="preserve">itlesel </w:t>
      </w:r>
      <w:proofErr w:type="spellStart"/>
      <w:r w:rsidR="00E96DD6" w:rsidRPr="00E96DD6">
        <w:rPr>
          <w:rFonts w:eastAsia="Times New Roman" w:cstheme="minorHAnsi"/>
        </w:rPr>
        <w:t>yokoluşun</w:t>
      </w:r>
      <w:proofErr w:type="spellEnd"/>
      <w:r w:rsidR="00E96DD6" w:rsidRPr="00E96DD6">
        <w:rPr>
          <w:rFonts w:eastAsia="Times New Roman" w:cstheme="minorHAnsi"/>
        </w:rPr>
        <w:t xml:space="preserve"> başındayız</w:t>
      </w:r>
      <w:r w:rsidR="00E96DD6">
        <w:rPr>
          <w:rFonts w:eastAsia="Times New Roman" w:cstheme="minorHAnsi"/>
        </w:rPr>
        <w:t xml:space="preserve">… </w:t>
      </w:r>
      <w:r>
        <w:rPr>
          <w:rFonts w:eastAsia="Times New Roman" w:cstheme="minorHAnsi"/>
        </w:rPr>
        <w:t>B</w:t>
      </w:r>
      <w:r w:rsidRPr="007C2A93">
        <w:rPr>
          <w:rFonts w:eastAsia="Times New Roman" w:cs="Calibri"/>
        </w:rPr>
        <w:t>ize h</w:t>
      </w:r>
      <w:r>
        <w:rPr>
          <w:rFonts w:eastAsia="Times New Roman" w:cs="Calibri"/>
        </w:rPr>
        <w:t>ayal kırıklığı yaşatıyorsunuz. A</w:t>
      </w:r>
      <w:r w:rsidRPr="007C2A93">
        <w:rPr>
          <w:rFonts w:eastAsia="Times New Roman" w:cs="Calibri"/>
        </w:rPr>
        <w:t>ma genç insanla</w:t>
      </w:r>
      <w:r>
        <w:rPr>
          <w:rFonts w:eastAsia="Times New Roman" w:cs="Calibri"/>
        </w:rPr>
        <w:t>r ihanetinizi görmeye başladı. T</w:t>
      </w:r>
      <w:r w:rsidRPr="007C2A93">
        <w:rPr>
          <w:rFonts w:eastAsia="Times New Roman" w:cs="Calibri"/>
        </w:rPr>
        <w:t>üm gelecek nesi</w:t>
      </w:r>
      <w:r>
        <w:rPr>
          <w:rFonts w:eastAsia="Times New Roman" w:cs="Calibri"/>
        </w:rPr>
        <w:t>llerin gözü üzerinizde olacak. E</w:t>
      </w:r>
      <w:r w:rsidRPr="007C2A93">
        <w:rPr>
          <w:rFonts w:eastAsia="Times New Roman" w:cs="Calibri"/>
        </w:rPr>
        <w:t>ğer bize hayal kırıklığı yaşatmayı tercih ederseniz, bili</w:t>
      </w:r>
      <w:r>
        <w:rPr>
          <w:rFonts w:eastAsia="Times New Roman" w:cs="Calibri"/>
        </w:rPr>
        <w:t>n ki sizi asla affetmeyeceğiz. B</w:t>
      </w:r>
      <w:r w:rsidRPr="007C2A93">
        <w:rPr>
          <w:rFonts w:eastAsia="Times New Roman" w:cs="Calibri"/>
        </w:rPr>
        <w:t>undan kurtulmanıza izin vermeyeceği</w:t>
      </w:r>
      <w:r>
        <w:rPr>
          <w:rFonts w:eastAsia="Times New Roman" w:cs="Calibri"/>
        </w:rPr>
        <w:t>z. H</w:t>
      </w:r>
      <w:r w:rsidRPr="007C2A93">
        <w:rPr>
          <w:rFonts w:eastAsia="Times New Roman" w:cs="Calibri"/>
        </w:rPr>
        <w:t>emen şimdi ve tam burada, çiz</w:t>
      </w:r>
      <w:r w:rsidR="00E96DD6">
        <w:rPr>
          <w:rFonts w:eastAsia="Times New Roman" w:cs="Calibri"/>
        </w:rPr>
        <w:t>giyi çekiyoruz. D</w:t>
      </w:r>
      <w:r>
        <w:rPr>
          <w:rFonts w:eastAsia="Times New Roman" w:cs="Calibri"/>
        </w:rPr>
        <w:t xml:space="preserve">ünya uyanıyor </w:t>
      </w:r>
      <w:r w:rsidRPr="007C2A93">
        <w:rPr>
          <w:rFonts w:eastAsia="Times New Roman" w:cs="Calibri"/>
        </w:rPr>
        <w:t>ve değişim geliyor, isteseniz de istemeseniz de</w:t>
      </w:r>
      <w:r>
        <w:rPr>
          <w:rFonts w:eastAsia="Times New Roman" w:cs="Calibri"/>
        </w:rPr>
        <w:t>…</w:t>
      </w:r>
    </w:p>
    <w:p w:rsidR="007C2A93" w:rsidRPr="004E1754" w:rsidRDefault="007C2A93" w:rsidP="009448CC">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color w:val="C0504D" w:themeColor="accent2"/>
        </w:rPr>
      </w:pPr>
    </w:p>
    <w:p w:rsidR="007C2A93" w:rsidRPr="00402F30" w:rsidRDefault="007C2A93" w:rsidP="007C2A93">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b/>
          <w:i/>
          <w:color w:val="943634" w:themeColor="accent2" w:themeShade="BF"/>
        </w:rPr>
      </w:pPr>
      <w:proofErr w:type="spellStart"/>
      <w:r w:rsidRPr="00402F30">
        <w:rPr>
          <w:rFonts w:eastAsia="Times New Roman" w:cs="Calibri"/>
          <w:b/>
          <w:i/>
          <w:color w:val="943634" w:themeColor="accent2" w:themeShade="BF"/>
        </w:rPr>
        <w:t>Greta</w:t>
      </w:r>
      <w:proofErr w:type="spellEnd"/>
      <w:r w:rsidRPr="00402F30">
        <w:rPr>
          <w:rFonts w:eastAsia="Times New Roman" w:cs="Calibri"/>
          <w:b/>
          <w:i/>
          <w:color w:val="943634" w:themeColor="accent2" w:themeShade="BF"/>
        </w:rPr>
        <w:t xml:space="preserve"> THUNBERG, Küresel İklim Krizi </w:t>
      </w:r>
      <w:proofErr w:type="spellStart"/>
      <w:r w:rsidRPr="00402F30">
        <w:rPr>
          <w:rFonts w:eastAsia="Times New Roman" w:cs="Calibri"/>
          <w:b/>
          <w:i/>
          <w:color w:val="943634" w:themeColor="accent2" w:themeShade="BF"/>
        </w:rPr>
        <w:t>Aktivisti</w:t>
      </w:r>
      <w:proofErr w:type="spellEnd"/>
    </w:p>
    <w:p w:rsidR="007C2A93" w:rsidRPr="00402F30" w:rsidRDefault="007C2A93" w:rsidP="007C2A93">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i/>
          <w:color w:val="943634" w:themeColor="accent2" w:themeShade="BF"/>
        </w:rPr>
      </w:pPr>
      <w:r w:rsidRPr="00402F30">
        <w:rPr>
          <w:rFonts w:eastAsia="Times New Roman" w:cs="Calibri"/>
          <w:i/>
          <w:color w:val="943634" w:themeColor="accent2" w:themeShade="BF"/>
        </w:rPr>
        <w:t xml:space="preserve">Birleşmiş Milletler (BM) İklim Zirvesi, </w:t>
      </w:r>
      <w:r w:rsidR="00402F30" w:rsidRPr="00402F30">
        <w:rPr>
          <w:rFonts w:eastAsia="Times New Roman" w:cs="Calibri"/>
          <w:i/>
          <w:color w:val="943634" w:themeColor="accent2" w:themeShade="BF"/>
        </w:rPr>
        <w:t xml:space="preserve">23 </w:t>
      </w:r>
      <w:r w:rsidRPr="00402F30">
        <w:rPr>
          <w:rFonts w:eastAsia="Times New Roman" w:cs="Calibri"/>
          <w:i/>
          <w:color w:val="943634" w:themeColor="accent2" w:themeShade="BF"/>
        </w:rPr>
        <w:t>Eylül 2</w:t>
      </w:r>
      <w:r w:rsidR="001541EF">
        <w:rPr>
          <w:rFonts w:eastAsia="Times New Roman" w:cs="Calibri"/>
          <w:i/>
          <w:color w:val="943634" w:themeColor="accent2" w:themeShade="BF"/>
        </w:rPr>
        <w:t>019</w:t>
      </w:r>
    </w:p>
    <w:p w:rsidR="005357F3" w:rsidRDefault="005357F3" w:rsidP="009642C2">
      <w:pPr>
        <w:autoSpaceDE w:val="0"/>
        <w:autoSpaceDN w:val="0"/>
        <w:adjustRightInd w:val="0"/>
        <w:spacing w:after="0" w:line="240" w:lineRule="auto"/>
        <w:jc w:val="both"/>
        <w:rPr>
          <w:rFonts w:eastAsia="Times New Roman" w:cs="Calibri"/>
          <w:b/>
          <w:color w:val="632423"/>
          <w:sz w:val="32"/>
          <w:szCs w:val="32"/>
        </w:rPr>
      </w:pPr>
    </w:p>
    <w:p w:rsidR="009642C2" w:rsidRPr="001F5930" w:rsidRDefault="00A22099" w:rsidP="009642C2">
      <w:pPr>
        <w:autoSpaceDE w:val="0"/>
        <w:autoSpaceDN w:val="0"/>
        <w:adjustRightInd w:val="0"/>
        <w:spacing w:after="0" w:line="240" w:lineRule="auto"/>
        <w:jc w:val="both"/>
        <w:rPr>
          <w:rFonts w:eastAsia="Times New Roman" w:cs="Calibri"/>
          <w:b/>
          <w:color w:val="632423"/>
          <w:sz w:val="32"/>
          <w:szCs w:val="32"/>
        </w:rPr>
      </w:pPr>
      <w:r>
        <w:rPr>
          <w:rFonts w:eastAsia="Times New Roman" w:cs="Calibri"/>
          <w:b/>
          <w:color w:val="632423"/>
          <w:sz w:val="32"/>
          <w:szCs w:val="32"/>
        </w:rPr>
        <w:t>ÖZET</w:t>
      </w:r>
    </w:p>
    <w:p w:rsidR="009642C2" w:rsidRDefault="009642C2" w:rsidP="009642C2">
      <w:pPr>
        <w:autoSpaceDE w:val="0"/>
        <w:autoSpaceDN w:val="0"/>
        <w:adjustRightInd w:val="0"/>
        <w:spacing w:after="0" w:line="240" w:lineRule="auto"/>
        <w:jc w:val="both"/>
      </w:pPr>
    </w:p>
    <w:p w:rsidR="009642C2" w:rsidRPr="001C3FA7" w:rsidRDefault="009642C2" w:rsidP="009642C2">
      <w:pPr>
        <w:autoSpaceDE w:val="0"/>
        <w:autoSpaceDN w:val="0"/>
        <w:adjustRightInd w:val="0"/>
        <w:spacing w:after="0" w:line="240" w:lineRule="auto"/>
        <w:jc w:val="both"/>
      </w:pPr>
      <w:r>
        <w:t>Dünya ekonomisi, 2019 yılının son çeyreğine gir</w:t>
      </w:r>
      <w:r w:rsidR="00D92E02">
        <w:t>ilir</w:t>
      </w:r>
      <w:r>
        <w:t xml:space="preserve">ken ticaret hacminin </w:t>
      </w:r>
      <w:r w:rsidR="00D92E02">
        <w:t xml:space="preserve">korumacı müdahalelerle </w:t>
      </w:r>
      <w:r>
        <w:t xml:space="preserve">baskılandığı, büyümenin </w:t>
      </w:r>
      <w:r w:rsidRPr="001C3FA7">
        <w:t xml:space="preserve">yavaşladığı ve jeopolitik risklerle belirsizliğin arttığı bir </w:t>
      </w:r>
      <w:r w:rsidR="00D92E02">
        <w:t>tablo</w:t>
      </w:r>
      <w:r w:rsidR="00E17848">
        <w:t xml:space="preserve"> sergilemektedir</w:t>
      </w:r>
      <w:r w:rsidRPr="001C3FA7">
        <w:t xml:space="preserve">. Dünyada </w:t>
      </w:r>
      <w:proofErr w:type="gramStart"/>
      <w:r w:rsidRPr="001C3FA7">
        <w:t>resesyona</w:t>
      </w:r>
      <w:proofErr w:type="gramEnd"/>
      <w:r w:rsidRPr="001C3FA7">
        <w:t xml:space="preserve"> bağlı yeni bir kriz beklentisi yükselirken, özellikle Çin ve Euro Bölgesi’ndeki gelişmeler bu anlamda yakından taki</w:t>
      </w:r>
      <w:r w:rsidR="00D92E02">
        <w:t xml:space="preserve">bi gerekli kılmaktadır. </w:t>
      </w:r>
    </w:p>
    <w:p w:rsidR="009642C2" w:rsidRPr="001C3FA7"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1C3FA7">
        <w:t xml:space="preserve">Uluslararası kuruluşlar, küresel büyüme tahminlerini aşağıya çekmeyi sürdürmektedir. Ekonomik İşbirliği ve Kalkınma Örgütü (OECD) Eylül </w:t>
      </w:r>
      <w:r w:rsidR="009448CC">
        <w:t>ayında</w:t>
      </w:r>
      <w:r w:rsidRPr="001C3FA7">
        <w:t xml:space="preserve"> açıkladığı "Ara Dönem Ekonomik Görünüm Raporu”nda</w:t>
      </w:r>
      <w:r w:rsidR="00D92E02">
        <w:t>,</w:t>
      </w:r>
      <w:r w:rsidRPr="001C3FA7">
        <w:t xml:space="preserve"> ABD ile Çin arasındaki ticaret savaşın</w:t>
      </w:r>
      <w:r w:rsidR="00D92E02">
        <w:t xml:space="preserve">ın, </w:t>
      </w:r>
      <w:r w:rsidRPr="001C3FA7">
        <w:t xml:space="preserve">küresel </w:t>
      </w:r>
      <w:r w:rsidR="00D92E02">
        <w:t xml:space="preserve">ekonomik </w:t>
      </w:r>
      <w:r w:rsidRPr="001C3FA7">
        <w:t>görünümü daha kırılgan ve belirsiz hale ge</w:t>
      </w:r>
      <w:r w:rsidR="00D92E02">
        <w:t>tirdiğine</w:t>
      </w:r>
      <w:r w:rsidRPr="001C3FA7">
        <w:t xml:space="preserve"> işaret etmiştir. Raporda, ticaret savaşının küresel büyümeyi son 10 yılın en düşük seviyesine çektiği belirtilirken, hükümetlerin ticaret savaşının uzun vadeli zararlarını azaltmak için gerekli çabayı göstermediği savunulmuştur. Raporda ayrıca, küresel büyüme beklentileri bu yıl için %3,2’den 2,9'a ve 2020 için de %3,4’ten 3'e indirilmiş; OECD, 2019 yılı öngörüsünün gerçekleşmesi halinde bunun 2008 Küresel Finans Krizi’nden bu yana görülen en zayıf yıllık büyüme oranı olacağına dikkat çekmiştir.</w:t>
      </w:r>
    </w:p>
    <w:p w:rsidR="009F03D6" w:rsidRDefault="009F03D6" w:rsidP="009642C2">
      <w:pPr>
        <w:autoSpaceDE w:val="0"/>
        <w:autoSpaceDN w:val="0"/>
        <w:adjustRightInd w:val="0"/>
        <w:spacing w:after="0" w:line="240" w:lineRule="auto"/>
        <w:jc w:val="both"/>
      </w:pPr>
    </w:p>
    <w:p w:rsidR="009F03D6" w:rsidRDefault="009F03D6" w:rsidP="009642C2">
      <w:pPr>
        <w:autoSpaceDE w:val="0"/>
        <w:autoSpaceDN w:val="0"/>
        <w:adjustRightInd w:val="0"/>
        <w:spacing w:after="0" w:line="240" w:lineRule="auto"/>
        <w:jc w:val="both"/>
      </w:pPr>
      <w:r w:rsidRPr="009F03D6">
        <w:t>Dünya Ticaret Örgütü</w:t>
      </w:r>
      <w:r>
        <w:t xml:space="preserve"> (DTÖ) de Ekim ayı başında ticaret savaşının artan etkisini gerekçe göstererek</w:t>
      </w:r>
      <w:r w:rsidRPr="009F03D6">
        <w:t>, 2019</w:t>
      </w:r>
      <w:r>
        <w:t xml:space="preserve"> yılında küresel ticaret için büyüme beklentisini %2,6’dan, son 10 yılın en düşük artışına işaret eden %1,</w:t>
      </w:r>
      <w:r w:rsidRPr="009F03D6">
        <w:t>2</w:t>
      </w:r>
      <w:r>
        <w:t xml:space="preserve"> seviyesine çekmiştir. </w:t>
      </w:r>
    </w:p>
    <w:p w:rsidR="00A22099" w:rsidRDefault="00A22099"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t xml:space="preserve">Dünya ekonomisinde </w:t>
      </w:r>
      <w:proofErr w:type="gramStart"/>
      <w:r w:rsidR="00E17848">
        <w:t>resesyon</w:t>
      </w:r>
      <w:proofErr w:type="gramEnd"/>
      <w:r>
        <w:t xml:space="preserve"> beklentilerindeki yükselişle birlikte</w:t>
      </w:r>
      <w:r w:rsidR="00E17848">
        <w:t>,</w:t>
      </w:r>
      <w:r>
        <w:t xml:space="preserve"> gelişmiş ülke merkez bankalarının mesajlarında ve politik</w:t>
      </w:r>
      <w:r w:rsidR="00E17848">
        <w:t>alarında</w:t>
      </w:r>
      <w:r>
        <w:t xml:space="preserve"> gerçekleşen değişim, Haziran ayından itibaren </w:t>
      </w:r>
      <w:r w:rsidRPr="00AB5598">
        <w:t xml:space="preserve">küresel piyasaların </w:t>
      </w:r>
      <w:r w:rsidR="00E17848">
        <w:t xml:space="preserve">ilgi </w:t>
      </w:r>
      <w:r w:rsidRPr="00AB5598">
        <w:t>odağında yer almıştır.</w:t>
      </w:r>
      <w:r>
        <w:t xml:space="preserve"> </w:t>
      </w:r>
      <w:r w:rsidRPr="00AB5598">
        <w:t xml:space="preserve">ABD’de </w:t>
      </w:r>
      <w:r>
        <w:t xml:space="preserve">güncel </w:t>
      </w:r>
      <w:r w:rsidRPr="00AB5598">
        <w:t xml:space="preserve">ekonomik veriler </w:t>
      </w:r>
      <w:r>
        <w:t>genel olarak olumlu</w:t>
      </w:r>
      <w:r w:rsidRPr="00AB5598">
        <w:t xml:space="preserve"> seyretse de Amerikan Merkez</w:t>
      </w:r>
      <w:r>
        <w:t xml:space="preserve"> Bankası (FED), Başkan </w:t>
      </w:r>
      <w:proofErr w:type="spellStart"/>
      <w:r>
        <w:t>Jerome</w:t>
      </w:r>
      <w:proofErr w:type="spellEnd"/>
      <w:r>
        <w:t xml:space="preserve"> </w:t>
      </w:r>
      <w:proofErr w:type="spellStart"/>
      <w:r>
        <w:t>Powell’ın</w:t>
      </w:r>
      <w:proofErr w:type="spellEnd"/>
      <w:r>
        <w:t xml:space="preserve"> deyişiyle ‘’risklere karşı sigorta sağlamak için’’ 11 yılın ardından Temmuz 2019’da faiz oranlarında indirime başlamıştır. </w:t>
      </w:r>
      <w:r w:rsidR="00B11529" w:rsidRPr="009448CC">
        <w:t>Bölgedeki negatif faiz oranlarına rağmen Avrupa Merkez Bankası (ECB) da faizde indirim kararı almış ve piyasaya likidite sağlayacak yeni bir tahvil alım programını uygulamaya sokmuştur.</w:t>
      </w:r>
      <w:r>
        <w:t xml:space="preserve"> </w:t>
      </w:r>
    </w:p>
    <w:p w:rsidR="009642C2"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t>Merkez bankalarının parasal sıkılaştırmayı askıya alması</w:t>
      </w:r>
      <w:r w:rsidR="00BE70EA">
        <w:t>,</w:t>
      </w:r>
      <w:r>
        <w:t xml:space="preserve"> küresel e</w:t>
      </w:r>
      <w:r w:rsidRPr="00AB5598">
        <w:t>konomiye nefes aldır</w:t>
      </w:r>
      <w:r>
        <w:t xml:space="preserve">an ve </w:t>
      </w:r>
      <w:r w:rsidRPr="00AB5598">
        <w:t>piyasaların riskleri sınırlı oranda fiyatlamasın</w:t>
      </w:r>
      <w:r>
        <w:t xml:space="preserve">a imkân veren </w:t>
      </w:r>
      <w:r w:rsidR="00BE70EA">
        <w:t xml:space="preserve">bir </w:t>
      </w:r>
      <w:r>
        <w:t xml:space="preserve">gelişme olmuştur. </w:t>
      </w:r>
      <w:r w:rsidR="00BE70EA">
        <w:t>Bu gelişme k</w:t>
      </w:r>
      <w:r>
        <w:t xml:space="preserve">ısa vadede </w:t>
      </w:r>
      <w:proofErr w:type="spellStart"/>
      <w:r>
        <w:t>fonlama</w:t>
      </w:r>
      <w:proofErr w:type="spellEnd"/>
      <w:r>
        <w:t xml:space="preserve"> açısından daha ılımlı bir ortamın oluşması ve piyasalarda getirisi düşük güvenli </w:t>
      </w:r>
      <w:r w:rsidRPr="001C3FA7">
        <w:t xml:space="preserve">limanlardan gelişmekte olan ekonomilere yönelik sermaye akışında artış yaşanması beklentilerini artırmıştır. </w:t>
      </w:r>
      <w:r w:rsidR="00296F95">
        <w:t>P</w:t>
      </w:r>
      <w:r w:rsidRPr="001C3FA7">
        <w:t>arasal genişleme</w:t>
      </w:r>
      <w:r w:rsidR="00296F95">
        <w:t>nin</w:t>
      </w:r>
      <w:r w:rsidRPr="001C3FA7">
        <w:t>, yapısal sorunları çözüm bekleyen ekonomiler</w:t>
      </w:r>
      <w:r w:rsidR="00296F95">
        <w:t xml:space="preserve">de </w:t>
      </w:r>
      <w:r w:rsidRPr="001C3FA7">
        <w:t>reform adımlarının daha da gecik</w:t>
      </w:r>
      <w:r w:rsidR="00296F95">
        <w:t>tirmesinden korkulmaktadır</w:t>
      </w:r>
      <w:r w:rsidRPr="001C3FA7">
        <w:t>.</w:t>
      </w:r>
    </w:p>
    <w:p w:rsidR="009642C2" w:rsidRDefault="009642C2" w:rsidP="009642C2">
      <w:pPr>
        <w:autoSpaceDE w:val="0"/>
        <w:autoSpaceDN w:val="0"/>
        <w:adjustRightInd w:val="0"/>
        <w:spacing w:after="0" w:line="240" w:lineRule="auto"/>
        <w:jc w:val="both"/>
      </w:pPr>
    </w:p>
    <w:p w:rsidR="009642C2" w:rsidRPr="001C3FA7" w:rsidRDefault="009642C2" w:rsidP="009642C2">
      <w:pPr>
        <w:autoSpaceDE w:val="0"/>
        <w:autoSpaceDN w:val="0"/>
        <w:adjustRightInd w:val="0"/>
        <w:spacing w:after="0" w:line="240" w:lineRule="auto"/>
        <w:jc w:val="both"/>
      </w:pPr>
      <w:r>
        <w:t xml:space="preserve">FED, </w:t>
      </w:r>
      <w:r w:rsidR="00296F95">
        <w:t xml:space="preserve"> faiz </w:t>
      </w:r>
      <w:r>
        <w:t xml:space="preserve">indirim sürecini önümüzdeki dönemde devam ettireceğine dair kuvvetli bir sinyal </w:t>
      </w:r>
      <w:r w:rsidR="00296F95">
        <w:t xml:space="preserve">henüz </w:t>
      </w:r>
      <w:r>
        <w:t xml:space="preserve">vermiş değildir. Gelinen noktada piyasalar tarafından merakla beklenen, </w:t>
      </w:r>
      <w:proofErr w:type="spellStart"/>
      <w:r>
        <w:t>FED’in</w:t>
      </w:r>
      <w:proofErr w:type="spellEnd"/>
      <w:r>
        <w:t xml:space="preserve"> faiz indirimlerinin ne kadar</w:t>
      </w:r>
      <w:r w:rsidR="00BE70EA">
        <w:t xml:space="preserve"> daha süreceği</w:t>
      </w:r>
      <w:r>
        <w:t xml:space="preserve"> ve faiz haritasının nasıl bir yol izleyeceğidir. Bu çerçevede önümüzdeki dönem </w:t>
      </w:r>
      <w:r>
        <w:lastRenderedPageBreak/>
        <w:t xml:space="preserve">algı ve likidite bolluğu açısından </w:t>
      </w:r>
      <w:proofErr w:type="spellStart"/>
      <w:r>
        <w:t>FED’in</w:t>
      </w:r>
      <w:proofErr w:type="spellEnd"/>
      <w:r>
        <w:t xml:space="preserve"> iletişim ve para politikası adımları büyük önem taşıyacak, yeni bir genişleme programı ile faiz indirimine devam etmesi halinde döviz kurlarından tahvil piyasalarına ve gelişmekte olan ülkelere (GOÜ) sermaye akışına kadar piyasalarda önemli etkiler ortaya </w:t>
      </w:r>
      <w:r w:rsidRPr="001C3FA7">
        <w:t>çıkabilecektir.</w:t>
      </w:r>
    </w:p>
    <w:p w:rsidR="009642C2" w:rsidRPr="001C3FA7"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1C3FA7">
        <w:t>OECD, "Ara Dönem Ekonomik Görünüm Raporu”nda önümüzdeki süreçte gelişmiş ekonomilerde para politikasının destekleyici olmaya devam etmesi gerektiğini</w:t>
      </w:r>
      <w:r w:rsidR="00296F95">
        <w:t>,</w:t>
      </w:r>
      <w:r w:rsidRPr="001C3FA7">
        <w:t xml:space="preserve"> ancak destekleyici para politikasının daha güçlü maliye politikası ve yapısal politika desteği ile </w:t>
      </w:r>
      <w:proofErr w:type="spellStart"/>
      <w:r w:rsidRPr="001C3FA7">
        <w:t>biraraya</w:t>
      </w:r>
      <w:proofErr w:type="spellEnd"/>
      <w:r w:rsidRPr="001C3FA7">
        <w:t xml:space="preserve"> getirilerek pekiştirilmesine ihtiyaç olduğun</w:t>
      </w:r>
      <w:r w:rsidR="00BE70EA">
        <w:t xml:space="preserve">u belirtmiştir. </w:t>
      </w:r>
      <w:r w:rsidR="00D63F0D">
        <w:t>“</w:t>
      </w:r>
      <w:r w:rsidRPr="00B90F9D">
        <w:t>Para politikası gelişmiş ekonomilerde oldukça destekleyici olmaya devam etmeli, ancak destekleyici para politikası daha güçlü mali ve yapısal politika desteği ile bir araya getirilerek pekişt</w:t>
      </w:r>
      <w:r w:rsidR="007C2A93">
        <w:t>i</w:t>
      </w:r>
      <w:r w:rsidRPr="00B90F9D">
        <w:t>rilmeli" ifadelerini kullanan OECD, "Mali politikanın gelişmiş ekonomilerde büyümenin desteklenmesinde daha büyük bir rol oynaması gerekli. Olağanüstü düşük faiz oranları kısa vadede tale</w:t>
      </w:r>
      <w:r w:rsidR="007C2A93">
        <w:t>b</w:t>
      </w:r>
      <w:r w:rsidRPr="00B90F9D">
        <w:t xml:space="preserve">i destekleyecek ve gelecek için faydalar sağlayacak altyapıya yatırım için bir fırsat sağlıyor" değerlendirmesini </w:t>
      </w:r>
      <w:r w:rsidR="00825896">
        <w:t>paylaş</w:t>
      </w:r>
      <w:r w:rsidR="00157443">
        <w:t>mıştır.</w:t>
      </w:r>
    </w:p>
    <w:p w:rsidR="00B52BC6" w:rsidRDefault="00B52BC6" w:rsidP="009642C2">
      <w:pPr>
        <w:autoSpaceDE w:val="0"/>
        <w:autoSpaceDN w:val="0"/>
        <w:adjustRightInd w:val="0"/>
        <w:spacing w:after="0" w:line="240" w:lineRule="auto"/>
        <w:jc w:val="both"/>
      </w:pPr>
    </w:p>
    <w:p w:rsidR="00B52BC6" w:rsidRDefault="00BE70EA" w:rsidP="00B52BC6">
      <w:pPr>
        <w:autoSpaceDE w:val="0"/>
        <w:autoSpaceDN w:val="0"/>
        <w:adjustRightInd w:val="0"/>
        <w:spacing w:after="0" w:line="240" w:lineRule="auto"/>
        <w:jc w:val="both"/>
      </w:pPr>
      <w:r>
        <w:t xml:space="preserve">ABD - Çin </w:t>
      </w:r>
      <w:r w:rsidR="001541EF">
        <w:t>t</w:t>
      </w:r>
      <w:r w:rsidR="00B52BC6" w:rsidRPr="001C3FA7">
        <w:t xml:space="preserve">icaret savaşı ve İngiltere’nin </w:t>
      </w:r>
      <w:proofErr w:type="spellStart"/>
      <w:r w:rsidR="00B52BC6" w:rsidRPr="001C3FA7">
        <w:t>Brexit</w:t>
      </w:r>
      <w:proofErr w:type="spellEnd"/>
      <w:r w:rsidR="00B52BC6" w:rsidRPr="001C3FA7">
        <w:t xml:space="preserve"> çıkmazının başlıca gerilim hattı olmayı sürdürdüğü </w:t>
      </w:r>
      <w:r w:rsidR="00B52BC6">
        <w:t>yılın üçüncü</w:t>
      </w:r>
      <w:r w:rsidR="00B52BC6" w:rsidRPr="001C3FA7">
        <w:t xml:space="preserve"> çeyre</w:t>
      </w:r>
      <w:r w:rsidR="00B52BC6">
        <w:t>ğinde, ekonomide</w:t>
      </w:r>
      <w:r w:rsidR="00B52BC6" w:rsidRPr="001C3FA7">
        <w:t xml:space="preserve"> risk algısını yükselten başka gelişmeler de yaşanmıştır. Almanya ile Çin ekonomilerindeki ivme kaybı, ABD’de ekonominin geleceğine ilişkin kaygılar, Hong Kong ile Arjantin’deki siyasi gelişmeler ve son olarak Suudi Arabistan petrol sahalarına yapılan saldırı ile yeniden yükselen ABD - İran gerginliği bunlar arasında öne çıkanlar olmuştur.</w:t>
      </w:r>
      <w:r w:rsidR="00B52BC6">
        <w:t xml:space="preserve"> </w:t>
      </w:r>
    </w:p>
    <w:p w:rsidR="00B52BC6" w:rsidRDefault="00B52BC6" w:rsidP="009642C2">
      <w:pPr>
        <w:autoSpaceDE w:val="0"/>
        <w:autoSpaceDN w:val="0"/>
        <w:adjustRightInd w:val="0"/>
        <w:spacing w:after="0" w:line="240" w:lineRule="auto"/>
        <w:jc w:val="both"/>
      </w:pPr>
    </w:p>
    <w:p w:rsidR="00B52BC6" w:rsidRDefault="00B52BC6" w:rsidP="00B52BC6">
      <w:pPr>
        <w:autoSpaceDE w:val="0"/>
        <w:autoSpaceDN w:val="0"/>
        <w:adjustRightInd w:val="0"/>
        <w:spacing w:after="0" w:line="240" w:lineRule="auto"/>
        <w:jc w:val="both"/>
      </w:pPr>
      <w:r w:rsidDel="008F72E1">
        <w:t xml:space="preserve">Eylül ayında </w:t>
      </w:r>
      <w:r w:rsidRPr="00C07E94" w:rsidDel="008F72E1">
        <w:t xml:space="preserve">Suudi Arabistan’ın milli petrol şirketi </w:t>
      </w:r>
      <w:proofErr w:type="spellStart"/>
      <w:r w:rsidRPr="00C07E94" w:rsidDel="008F72E1">
        <w:t>Aramco</w:t>
      </w:r>
      <w:proofErr w:type="spellEnd"/>
      <w:r w:rsidRPr="00C07E94" w:rsidDel="008F72E1">
        <w:t xml:space="preserve"> tesislerine düzenlenen </w:t>
      </w:r>
      <w:r w:rsidDel="008F72E1">
        <w:t xml:space="preserve">terör saldırısı </w:t>
      </w:r>
      <w:r w:rsidRPr="0011493A" w:rsidDel="008F72E1">
        <w:t>ülkenin petrol üretimi</w:t>
      </w:r>
      <w:r w:rsidDel="008F72E1">
        <w:t>nin</w:t>
      </w:r>
      <w:r w:rsidRPr="0011493A" w:rsidDel="008F72E1">
        <w:t xml:space="preserve"> günlük 5,7 milyon varil azal</w:t>
      </w:r>
      <w:r w:rsidDel="008F72E1">
        <w:t>masına ve b</w:t>
      </w:r>
      <w:r w:rsidRPr="0011493A" w:rsidDel="008F72E1">
        <w:t>una bağlı olarak petrol fiyatları</w:t>
      </w:r>
      <w:r w:rsidDel="008F72E1">
        <w:t>nın</w:t>
      </w:r>
      <w:r w:rsidRPr="0011493A" w:rsidDel="008F72E1">
        <w:t xml:space="preserve"> </w:t>
      </w:r>
      <w:r w:rsidDel="008F72E1">
        <w:t>%</w:t>
      </w:r>
      <w:r w:rsidRPr="0011493A" w:rsidDel="008F72E1">
        <w:t>10 art</w:t>
      </w:r>
      <w:r w:rsidDel="008F72E1">
        <w:t xml:space="preserve">masına yol açmış; piyasalarda riskten kaçınma eğilimini artırmıştır. </w:t>
      </w:r>
      <w:r>
        <w:t>Petrol üretimindeki düşüşün</w:t>
      </w:r>
      <w:r w:rsidDel="008F72E1">
        <w:t xml:space="preserve"> küresel büyüme açsından sonuçlarının ne olabileceğine dair</w:t>
      </w:r>
      <w:r>
        <w:t xml:space="preserve"> senaryolar</w:t>
      </w:r>
      <w:r w:rsidDel="008F72E1">
        <w:t xml:space="preserve"> tansiyonu artırmış</w:t>
      </w:r>
      <w:r>
        <w:t xml:space="preserve"> ancak Suudi A</w:t>
      </w:r>
      <w:r w:rsidRPr="00DC61D8">
        <w:t xml:space="preserve">rabistan'da üretimin kısa sürede toparlandığı yönündeki haberlerle endişeler azalmıştır. </w:t>
      </w:r>
      <w:r w:rsidR="00BE70EA">
        <w:t>B</w:t>
      </w:r>
      <w:r w:rsidRPr="00DC61D8">
        <w:t>ölgede böyle bir terör saldırısının yaşanması ve AB'nin</w:t>
      </w:r>
      <w:r>
        <w:t xml:space="preserve"> saldırıdan İran'ı sorumlu tutm</w:t>
      </w:r>
      <w:r w:rsidRPr="00DC61D8">
        <w:t xml:space="preserve">ası </w:t>
      </w:r>
      <w:r w:rsidR="00BE70EA">
        <w:t xml:space="preserve">ise </w:t>
      </w:r>
      <w:r>
        <w:t>Ortadoğu</w:t>
      </w:r>
      <w:r w:rsidRPr="00DC61D8">
        <w:t>'daki gerilimi tırmandıran önemli bir gelişme olmuştur.</w:t>
      </w:r>
    </w:p>
    <w:p w:rsidR="00B52BC6" w:rsidRDefault="00B52BC6" w:rsidP="009642C2">
      <w:pPr>
        <w:autoSpaceDE w:val="0"/>
        <w:autoSpaceDN w:val="0"/>
        <w:adjustRightInd w:val="0"/>
        <w:spacing w:after="0" w:line="240" w:lineRule="auto"/>
        <w:jc w:val="both"/>
      </w:pPr>
    </w:p>
    <w:p w:rsidR="007C2A93" w:rsidRDefault="0044027A" w:rsidP="009642C2">
      <w:pPr>
        <w:autoSpaceDE w:val="0"/>
        <w:autoSpaceDN w:val="0"/>
        <w:adjustRightInd w:val="0"/>
        <w:spacing w:after="0" w:line="240" w:lineRule="auto"/>
        <w:jc w:val="both"/>
      </w:pPr>
      <w:r>
        <w:t>Geçen dönemde</w:t>
      </w:r>
      <w:r w:rsidRPr="0044027A">
        <w:t xml:space="preserve"> </w:t>
      </w:r>
      <w:r>
        <w:t xml:space="preserve">GOÜ yatırımcıları, </w:t>
      </w:r>
      <w:r w:rsidRPr="0044027A">
        <w:t>ABD</w:t>
      </w:r>
      <w:r>
        <w:t xml:space="preserve"> </w:t>
      </w:r>
      <w:r w:rsidRPr="0044027A">
        <w:t>-</w:t>
      </w:r>
      <w:r>
        <w:t xml:space="preserve"> Çin ticaret savaşından</w:t>
      </w:r>
      <w:r w:rsidRPr="0044027A">
        <w:t xml:space="preserve"> </w:t>
      </w:r>
      <w:r>
        <w:t xml:space="preserve">ABD Başkanı </w:t>
      </w:r>
      <w:proofErr w:type="spellStart"/>
      <w:r w:rsidRPr="0044027A">
        <w:t>Trump</w:t>
      </w:r>
      <w:proofErr w:type="spellEnd"/>
      <w:r>
        <w:t xml:space="preserve"> için başlatılan azil sür</w:t>
      </w:r>
      <w:r w:rsidR="004964C6">
        <w:t>e</w:t>
      </w:r>
      <w:r>
        <w:t xml:space="preserve">cine, </w:t>
      </w:r>
      <w:r w:rsidRPr="0044027A">
        <w:t>Hong Kong protestola</w:t>
      </w:r>
      <w:r>
        <w:t xml:space="preserve">rından </w:t>
      </w:r>
      <w:proofErr w:type="spellStart"/>
      <w:r>
        <w:t>Brexit</w:t>
      </w:r>
      <w:r w:rsidR="004964C6">
        <w:t>’e</w:t>
      </w:r>
      <w:proofErr w:type="spellEnd"/>
      <w:r w:rsidR="004964C6">
        <w:t xml:space="preserve"> </w:t>
      </w:r>
      <w:r>
        <w:t>kadar bir</w:t>
      </w:r>
      <w:r w:rsidRPr="0044027A">
        <w:t xml:space="preserve">çok </w:t>
      </w:r>
      <w:r w:rsidR="004964C6">
        <w:t xml:space="preserve">risk unsuruna maruz kalmışlardır. </w:t>
      </w:r>
      <w:r w:rsidR="002D08B3">
        <w:t>K</w:t>
      </w:r>
      <w:r w:rsidR="009642C2">
        <w:t xml:space="preserve">ur tartışmaları kapsamında Çin’in para birimi </w:t>
      </w:r>
      <w:proofErr w:type="spellStart"/>
      <w:r w:rsidR="009642C2">
        <w:t>Yuan’ı</w:t>
      </w:r>
      <w:proofErr w:type="spellEnd"/>
      <w:r w:rsidR="009642C2">
        <w:t xml:space="preserve"> devalüe ederek ABD Doları’na karşı 7 seviyesinin üzerine getirdiği iddiaları ve </w:t>
      </w:r>
      <w:r w:rsidR="009642C2" w:rsidRPr="00EC2127">
        <w:t>mali krizin derinleştiği Arjantin'de</w:t>
      </w:r>
      <w:r w:rsidR="009642C2">
        <w:t xml:space="preserve"> </w:t>
      </w:r>
      <w:r w:rsidR="009642C2" w:rsidRPr="00EC2127">
        <w:t>hükümet</w:t>
      </w:r>
      <w:r w:rsidR="009642C2">
        <w:t xml:space="preserve">in, </w:t>
      </w:r>
      <w:proofErr w:type="spellStart"/>
      <w:r w:rsidR="009642C2">
        <w:t>Peso</w:t>
      </w:r>
      <w:r w:rsidR="00BE70EA">
        <w:t>’nun</w:t>
      </w:r>
      <w:proofErr w:type="spellEnd"/>
      <w:r w:rsidR="00BE70EA">
        <w:t xml:space="preserve"> değer kaybetmesiyle </w:t>
      </w:r>
      <w:r w:rsidR="009642C2" w:rsidRPr="00EC2127">
        <w:t>sermaye kontrolü uygulamaya başlaması</w:t>
      </w:r>
      <w:r w:rsidR="009642C2">
        <w:t xml:space="preserve"> da </w:t>
      </w:r>
      <w:proofErr w:type="spellStart"/>
      <w:r w:rsidR="009642C2">
        <w:t>GOÜ’lere</w:t>
      </w:r>
      <w:proofErr w:type="spellEnd"/>
      <w:r w:rsidR="009642C2">
        <w:t xml:space="preserve"> yönelik risk iştahının baskılanmasına neden olmuştur.</w:t>
      </w:r>
      <w:r w:rsidR="002D08B3">
        <w:t xml:space="preserve"> Son olarak, </w:t>
      </w:r>
      <w:r w:rsidRPr="0044027A">
        <w:t>Euro Bölgesi</w:t>
      </w:r>
      <w:r>
        <w:t xml:space="preserve"> ve ABD imalat sektörlerinden Eylül ayında</w:t>
      </w:r>
      <w:r w:rsidR="002D08B3">
        <w:t xml:space="preserve"> gelen</w:t>
      </w:r>
      <w:r>
        <w:t xml:space="preserve"> olumsuz sinyaller </w:t>
      </w:r>
      <w:r w:rsidRPr="0044027A">
        <w:t>küresel büyümenin baskılandığına dair endişeleri</w:t>
      </w:r>
      <w:r>
        <w:t xml:space="preserve"> artırarak gelişen ülke varlıklarını negatif etkilemiştir.</w:t>
      </w:r>
    </w:p>
    <w:p w:rsidR="00B52BC6" w:rsidRDefault="00B52BC6" w:rsidP="009642C2">
      <w:pPr>
        <w:autoSpaceDE w:val="0"/>
        <w:autoSpaceDN w:val="0"/>
        <w:adjustRightInd w:val="0"/>
        <w:spacing w:after="0" w:line="240" w:lineRule="auto"/>
        <w:jc w:val="both"/>
      </w:pPr>
    </w:p>
    <w:p w:rsidR="00B52BC6" w:rsidRDefault="00B52BC6" w:rsidP="00B52BC6">
      <w:pPr>
        <w:autoSpaceDE w:val="0"/>
        <w:autoSpaceDN w:val="0"/>
        <w:adjustRightInd w:val="0"/>
        <w:spacing w:after="0" w:line="240" w:lineRule="auto"/>
        <w:jc w:val="both"/>
        <w:rPr>
          <w:rFonts w:cstheme="minorHAnsi"/>
        </w:rPr>
      </w:pPr>
      <w:r>
        <w:t>Küresel ticaret hacmi son yıllarda korumacı politikaların da artan etkisiyle zayıflarken, hâkim para birimi Dolar’ın</w:t>
      </w:r>
      <w:r w:rsidR="00E95137">
        <w:t xml:space="preserve"> değeri d</w:t>
      </w:r>
      <w:r w:rsidRPr="00603F01">
        <w:t>e</w:t>
      </w:r>
      <w:r w:rsidR="00BE70EA">
        <w:t xml:space="preserve"> </w:t>
      </w:r>
      <w:r>
        <w:t>son derece duyarlı hale gelmiştir. Mevcut sistemde k</w:t>
      </w:r>
      <w:r w:rsidRPr="008F6AFB">
        <w:t xml:space="preserve">üresel ticaret kendi başına </w:t>
      </w:r>
      <w:r>
        <w:t>Dolar</w:t>
      </w:r>
      <w:r w:rsidRPr="008F6AFB">
        <w:t xml:space="preserve"> talebi yara</w:t>
      </w:r>
      <w:r>
        <w:t>tmakta olup, b</w:t>
      </w:r>
      <w:r w:rsidRPr="008F6AFB">
        <w:t>u durum finansal piyasaları da işin içine katınca çarpan etkisiyle büyü</w:t>
      </w:r>
      <w:r>
        <w:t xml:space="preserve">mektedir. Küresel Dolar talebinin kolay </w:t>
      </w:r>
      <w:proofErr w:type="spellStart"/>
      <w:r>
        <w:t>kolay</w:t>
      </w:r>
      <w:proofErr w:type="spellEnd"/>
      <w:r>
        <w:t xml:space="preserve"> kontrol altına alınamadığı tabloda, </w:t>
      </w:r>
      <w:r w:rsidRPr="001F42A3">
        <w:rPr>
          <w:rFonts w:cstheme="minorHAnsi"/>
        </w:rPr>
        <w:t>İngiltere</w:t>
      </w:r>
      <w:r>
        <w:rPr>
          <w:rFonts w:cstheme="minorHAnsi"/>
        </w:rPr>
        <w:t xml:space="preserve"> Merkez Bankası (</w:t>
      </w:r>
      <w:proofErr w:type="spellStart"/>
      <w:r>
        <w:rPr>
          <w:rFonts w:cstheme="minorHAnsi"/>
        </w:rPr>
        <w:t>BoE</w:t>
      </w:r>
      <w:proofErr w:type="spellEnd"/>
      <w:r>
        <w:rPr>
          <w:rFonts w:cstheme="minorHAnsi"/>
        </w:rPr>
        <w:t xml:space="preserve">) Başkanı </w:t>
      </w:r>
      <w:proofErr w:type="spellStart"/>
      <w:r>
        <w:rPr>
          <w:rFonts w:cstheme="minorHAnsi"/>
        </w:rPr>
        <w:t>Carney’</w:t>
      </w:r>
      <w:r w:rsidRPr="001F42A3">
        <w:rPr>
          <w:rFonts w:cstheme="minorHAnsi"/>
        </w:rPr>
        <w:t>in</w:t>
      </w:r>
      <w:proofErr w:type="spellEnd"/>
      <w:r>
        <w:rPr>
          <w:rFonts w:cstheme="minorHAnsi"/>
        </w:rPr>
        <w:t xml:space="preserve"> </w:t>
      </w:r>
      <w:r w:rsidRPr="001F128D">
        <w:rPr>
          <w:rFonts w:cstheme="minorHAnsi"/>
        </w:rPr>
        <w:t xml:space="preserve">uluslararası </w:t>
      </w:r>
      <w:r>
        <w:rPr>
          <w:rFonts w:cstheme="minorHAnsi"/>
        </w:rPr>
        <w:t>bir dijital para birimi</w:t>
      </w:r>
      <w:r w:rsidRPr="001F128D">
        <w:rPr>
          <w:rFonts w:cstheme="minorHAnsi"/>
        </w:rPr>
        <w:t xml:space="preserve"> yaratılması önerisi</w:t>
      </w:r>
      <w:r>
        <w:rPr>
          <w:rFonts w:cstheme="minorHAnsi"/>
        </w:rPr>
        <w:t xml:space="preserve"> </w:t>
      </w:r>
      <w:r>
        <w:t xml:space="preserve">dikkat çekmiştir. </w:t>
      </w:r>
      <w:proofErr w:type="gramStart"/>
      <w:r>
        <w:t>“</w:t>
      </w:r>
      <w:r w:rsidRPr="001F42A3">
        <w:rPr>
          <w:rFonts w:cstheme="minorHAnsi"/>
          <w:shd w:val="clear" w:color="auto" w:fill="FFFFFF"/>
        </w:rPr>
        <w:t xml:space="preserve">Merkez Bankalarının </w:t>
      </w:r>
      <w:proofErr w:type="spellStart"/>
      <w:r w:rsidRPr="001F42A3">
        <w:rPr>
          <w:rFonts w:cstheme="minorHAnsi"/>
          <w:shd w:val="clear" w:color="auto" w:fill="FFFFFF"/>
        </w:rPr>
        <w:t>Davos</w:t>
      </w:r>
      <w:r>
        <w:rPr>
          <w:rFonts w:cstheme="minorHAnsi"/>
          <w:shd w:val="clear" w:color="auto" w:fill="FFFFFF"/>
        </w:rPr>
        <w:t>’u</w:t>
      </w:r>
      <w:proofErr w:type="spellEnd"/>
      <w:r>
        <w:rPr>
          <w:rFonts w:cstheme="minorHAnsi"/>
          <w:shd w:val="clear" w:color="auto" w:fill="FFFFFF"/>
        </w:rPr>
        <w:t>”</w:t>
      </w:r>
      <w:r w:rsidRPr="001F42A3">
        <w:rPr>
          <w:rFonts w:cstheme="minorHAnsi"/>
          <w:shd w:val="clear" w:color="auto" w:fill="FFFFFF"/>
        </w:rPr>
        <w:t xml:space="preserve"> olarak bilinen </w:t>
      </w:r>
      <w:r w:rsidRPr="001F42A3">
        <w:rPr>
          <w:rFonts w:cstheme="minorHAnsi"/>
        </w:rPr>
        <w:t xml:space="preserve">Jackson </w:t>
      </w:r>
      <w:proofErr w:type="spellStart"/>
      <w:r w:rsidRPr="001F42A3">
        <w:rPr>
          <w:rFonts w:cstheme="minorHAnsi"/>
        </w:rPr>
        <w:t>Hole</w:t>
      </w:r>
      <w:r>
        <w:rPr>
          <w:rFonts w:cstheme="minorHAnsi"/>
        </w:rPr>
        <w:t>’un</w:t>
      </w:r>
      <w:proofErr w:type="spellEnd"/>
      <w:r>
        <w:rPr>
          <w:rFonts w:cstheme="minorHAnsi"/>
        </w:rPr>
        <w:t xml:space="preserve"> Yıllık Toplantısı’nda </w:t>
      </w:r>
      <w:r w:rsidRPr="001F42A3">
        <w:rPr>
          <w:rFonts w:cstheme="minorHAnsi"/>
        </w:rPr>
        <w:t xml:space="preserve">konuşan </w:t>
      </w:r>
      <w:proofErr w:type="spellStart"/>
      <w:r>
        <w:rPr>
          <w:rFonts w:cstheme="minorHAnsi"/>
        </w:rPr>
        <w:t>Carney</w:t>
      </w:r>
      <w:proofErr w:type="spellEnd"/>
      <w:r>
        <w:rPr>
          <w:rFonts w:cstheme="minorHAnsi"/>
        </w:rPr>
        <w:t>,</w:t>
      </w:r>
      <w:r w:rsidRPr="001F42A3">
        <w:rPr>
          <w:rFonts w:cstheme="minorHAnsi"/>
        </w:rPr>
        <w:t xml:space="preserve"> </w:t>
      </w:r>
      <w:r w:rsidRPr="009A68ED">
        <w:rPr>
          <w:rFonts w:cstheme="minorHAnsi"/>
        </w:rPr>
        <w:t>ekonomik politika belirsizliği</w:t>
      </w:r>
      <w:r>
        <w:rPr>
          <w:rFonts w:cstheme="minorHAnsi"/>
        </w:rPr>
        <w:t xml:space="preserve"> ve korumacılık artarken </w:t>
      </w:r>
      <w:r w:rsidRPr="009A68ED">
        <w:rPr>
          <w:rFonts w:cstheme="minorHAnsi"/>
        </w:rPr>
        <w:t>negatif şokların sınırlı politika alanından dolayı yeterince giderileme</w:t>
      </w:r>
      <w:r>
        <w:rPr>
          <w:rFonts w:cstheme="minorHAnsi"/>
        </w:rPr>
        <w:t xml:space="preserve">diğini, dünya genelinde </w:t>
      </w:r>
      <w:proofErr w:type="spellStart"/>
      <w:r>
        <w:rPr>
          <w:rFonts w:cstheme="minorHAnsi"/>
        </w:rPr>
        <w:t>dezenflasyonist</w:t>
      </w:r>
      <w:proofErr w:type="spellEnd"/>
      <w:r>
        <w:rPr>
          <w:rFonts w:cstheme="minorHAnsi"/>
        </w:rPr>
        <w:t xml:space="preserve">/ düşük enflasyon eğiliminin güçlendiğini, bundan sonra neler yapılması gerektiği konusunda ise Dolar’ın </w:t>
      </w:r>
      <w:r w:rsidRPr="001F128D">
        <w:rPr>
          <w:rFonts w:cstheme="minorHAnsi"/>
        </w:rPr>
        <w:t>getirdiği dengesizlikleri gider</w:t>
      </w:r>
      <w:r>
        <w:rPr>
          <w:rFonts w:cstheme="minorHAnsi"/>
        </w:rPr>
        <w:t xml:space="preserve">ecek </w:t>
      </w:r>
      <w:r w:rsidRPr="002E27C8">
        <w:rPr>
          <w:rFonts w:cstheme="minorHAnsi"/>
        </w:rPr>
        <w:t>bir dijital paranın</w:t>
      </w:r>
      <w:r>
        <w:rPr>
          <w:rFonts w:cstheme="minorHAnsi"/>
        </w:rPr>
        <w:t xml:space="preserve"> rezerv para olarak</w:t>
      </w:r>
      <w:r w:rsidRPr="002E27C8">
        <w:rPr>
          <w:rFonts w:cstheme="minorHAnsi"/>
        </w:rPr>
        <w:t xml:space="preserve"> daha iyi bir seçenek olacağını</w:t>
      </w:r>
      <w:r>
        <w:rPr>
          <w:rFonts w:cstheme="minorHAnsi"/>
        </w:rPr>
        <w:t xml:space="preserve"> belirtmiştir.</w:t>
      </w:r>
      <w:proofErr w:type="gramEnd"/>
    </w:p>
    <w:p w:rsidR="002D08B3" w:rsidRDefault="002D08B3" w:rsidP="009642C2">
      <w:pPr>
        <w:autoSpaceDE w:val="0"/>
        <w:autoSpaceDN w:val="0"/>
        <w:adjustRightInd w:val="0"/>
        <w:spacing w:after="0" w:line="240" w:lineRule="auto"/>
        <w:jc w:val="both"/>
      </w:pPr>
    </w:p>
    <w:p w:rsidR="00830017" w:rsidRPr="00830017" w:rsidRDefault="00BE70EA" w:rsidP="00830017">
      <w:pPr>
        <w:autoSpaceDE w:val="0"/>
        <w:autoSpaceDN w:val="0"/>
        <w:adjustRightInd w:val="0"/>
        <w:spacing w:after="0" w:line="240" w:lineRule="auto"/>
        <w:jc w:val="both"/>
      </w:pPr>
      <w:r>
        <w:t>S</w:t>
      </w:r>
      <w:r w:rsidR="00F82958">
        <w:t>on dönemde bu gelişmeler</w:t>
      </w:r>
      <w:r>
        <w:t xml:space="preserve">in yaşandığı dünya ekonomisinde </w:t>
      </w:r>
      <w:r w:rsidR="00830017" w:rsidRPr="00830017">
        <w:t xml:space="preserve">gelişmenin temel ölçütü olarak GSYH artışı peşinde koşulmasının gelir eşitsizlikleri ve çevre tahribatı gibi büyük </w:t>
      </w:r>
      <w:r w:rsidR="004A78DF">
        <w:t>sorunları beraberinde getirdiği</w:t>
      </w:r>
      <w:r>
        <w:t xml:space="preserve"> </w:t>
      </w:r>
      <w:r w:rsidR="00830017" w:rsidRPr="00830017">
        <w:t xml:space="preserve">sıklıkla gündeme gelmektedir. Küresel İklim </w:t>
      </w:r>
      <w:proofErr w:type="spellStart"/>
      <w:r w:rsidR="00830017" w:rsidRPr="00830017">
        <w:t>Aktivisti</w:t>
      </w:r>
      <w:proofErr w:type="spellEnd"/>
      <w:r w:rsidR="00830017" w:rsidRPr="00830017">
        <w:t xml:space="preserve"> </w:t>
      </w:r>
      <w:proofErr w:type="spellStart"/>
      <w:r w:rsidR="00830017" w:rsidRPr="00830017">
        <w:t>Greta</w:t>
      </w:r>
      <w:proofErr w:type="spellEnd"/>
      <w:r w:rsidR="00830017" w:rsidRPr="00830017">
        <w:t xml:space="preserve"> </w:t>
      </w:r>
      <w:proofErr w:type="spellStart"/>
      <w:r w:rsidR="00830017" w:rsidRPr="00830017">
        <w:t>Thunberg’in</w:t>
      </w:r>
      <w:proofErr w:type="spellEnd"/>
      <w:r w:rsidR="00830017" w:rsidRPr="00830017">
        <w:t xml:space="preserve"> öncülüğünde pek çok </w:t>
      </w:r>
      <w:r w:rsidR="00830017" w:rsidRPr="00830017">
        <w:lastRenderedPageBreak/>
        <w:t xml:space="preserve">ülkede iklim değişikliği ile mücadele konusunda eylemler ile hükümetlere bir an önce önlem almaları çağrısında bulunulmaktadır. </w:t>
      </w:r>
    </w:p>
    <w:p w:rsidR="00830017" w:rsidRDefault="00830017" w:rsidP="009642C2">
      <w:pPr>
        <w:autoSpaceDE w:val="0"/>
        <w:autoSpaceDN w:val="0"/>
        <w:adjustRightInd w:val="0"/>
        <w:spacing w:after="0" w:line="240" w:lineRule="auto"/>
        <w:jc w:val="both"/>
      </w:pPr>
    </w:p>
    <w:p w:rsidR="00DC61D8" w:rsidRDefault="00787782" w:rsidP="00DC61D8">
      <w:pPr>
        <w:autoSpaceDE w:val="0"/>
        <w:autoSpaceDN w:val="0"/>
        <w:adjustRightInd w:val="0"/>
        <w:spacing w:after="0" w:line="240" w:lineRule="auto"/>
        <w:jc w:val="both"/>
      </w:pPr>
      <w:r w:rsidRPr="003630E5">
        <w:rPr>
          <w:rFonts w:cstheme="minorHAnsi"/>
          <w:color w:val="000000" w:themeColor="text1"/>
        </w:rPr>
        <w:t>Türkiye</w:t>
      </w:r>
      <w:r w:rsidR="007849B2">
        <w:rPr>
          <w:rFonts w:cstheme="minorHAnsi"/>
          <w:color w:val="000000" w:themeColor="text1"/>
        </w:rPr>
        <w:t xml:space="preserve">’nin </w:t>
      </w:r>
      <w:r>
        <w:rPr>
          <w:rFonts w:cstheme="minorHAnsi"/>
          <w:color w:val="000000" w:themeColor="text1"/>
        </w:rPr>
        <w:t>coğrafi</w:t>
      </w:r>
      <w:r w:rsidR="00BD2B22">
        <w:rPr>
          <w:rFonts w:cstheme="minorHAnsi"/>
          <w:color w:val="000000" w:themeColor="text1"/>
        </w:rPr>
        <w:t xml:space="preserve"> olarak</w:t>
      </w:r>
      <w:r>
        <w:rPr>
          <w:rFonts w:cstheme="minorHAnsi"/>
          <w:color w:val="000000" w:themeColor="text1"/>
        </w:rPr>
        <w:t xml:space="preserve"> </w:t>
      </w:r>
      <w:r w:rsidR="00BD2B22">
        <w:rPr>
          <w:rFonts w:cstheme="minorHAnsi"/>
          <w:color w:val="000000" w:themeColor="text1"/>
        </w:rPr>
        <w:t xml:space="preserve">Avrupa ile </w:t>
      </w:r>
      <w:r w:rsidR="002D2E83">
        <w:rPr>
          <w:rFonts w:cstheme="minorHAnsi"/>
          <w:color w:val="000000" w:themeColor="text1"/>
        </w:rPr>
        <w:t>Ortadoğu</w:t>
      </w:r>
      <w:r w:rsidR="00BD2B22">
        <w:rPr>
          <w:rFonts w:cstheme="minorHAnsi"/>
          <w:color w:val="000000" w:themeColor="text1"/>
        </w:rPr>
        <w:t xml:space="preserve"> arasında köprü olması, </w:t>
      </w:r>
      <w:r>
        <w:rPr>
          <w:rFonts w:cstheme="minorHAnsi"/>
          <w:color w:val="000000" w:themeColor="text1"/>
        </w:rPr>
        <w:t>jeopolitik risk haritasının odağında bulun</w:t>
      </w:r>
      <w:r w:rsidR="00BD2B22">
        <w:rPr>
          <w:rFonts w:cstheme="minorHAnsi"/>
          <w:color w:val="000000" w:themeColor="text1"/>
        </w:rPr>
        <w:t xml:space="preserve">masına ve </w:t>
      </w:r>
      <w:r w:rsidR="007849B2">
        <w:rPr>
          <w:rFonts w:cstheme="minorHAnsi"/>
          <w:color w:val="000000" w:themeColor="text1"/>
        </w:rPr>
        <w:t xml:space="preserve">Türkiye ekonomisinin </w:t>
      </w:r>
      <w:r w:rsidR="00BD2B22">
        <w:rPr>
          <w:rFonts w:cstheme="minorHAnsi"/>
          <w:color w:val="000000" w:themeColor="text1"/>
        </w:rPr>
        <w:t xml:space="preserve">de sıklıkla </w:t>
      </w:r>
      <w:r w:rsidR="007849B2">
        <w:rPr>
          <w:rFonts w:cstheme="minorHAnsi"/>
          <w:color w:val="000000" w:themeColor="text1"/>
        </w:rPr>
        <w:t>dış politikadaki gerginlikler</w:t>
      </w:r>
      <w:r w:rsidR="00BD2B22">
        <w:rPr>
          <w:rFonts w:cstheme="minorHAnsi"/>
          <w:color w:val="000000" w:themeColor="text1"/>
        </w:rPr>
        <w:t xml:space="preserve">in etkisi altında </w:t>
      </w:r>
      <w:r w:rsidR="00185CF6">
        <w:rPr>
          <w:rFonts w:cstheme="minorHAnsi"/>
          <w:color w:val="000000" w:themeColor="text1"/>
        </w:rPr>
        <w:t>kal</w:t>
      </w:r>
      <w:r w:rsidR="00BD2B22">
        <w:rPr>
          <w:rFonts w:cstheme="minorHAnsi"/>
          <w:color w:val="000000" w:themeColor="text1"/>
        </w:rPr>
        <w:t>masına</w:t>
      </w:r>
      <w:r w:rsidR="007849B2">
        <w:rPr>
          <w:rFonts w:cstheme="minorHAnsi"/>
          <w:color w:val="000000" w:themeColor="text1"/>
        </w:rPr>
        <w:t xml:space="preserve"> neden olmakta</w:t>
      </w:r>
      <w:r w:rsidR="00BD2B22">
        <w:rPr>
          <w:rFonts w:cstheme="minorHAnsi"/>
          <w:color w:val="000000" w:themeColor="text1"/>
        </w:rPr>
        <w:t>dır. B</w:t>
      </w:r>
      <w:r w:rsidR="007849B2">
        <w:rPr>
          <w:rFonts w:cstheme="minorHAnsi"/>
          <w:color w:val="000000" w:themeColor="text1"/>
        </w:rPr>
        <w:t xml:space="preserve">u kapsamda ABD </w:t>
      </w:r>
      <w:r w:rsidR="007849B2" w:rsidRPr="00B6078E">
        <w:rPr>
          <w:rFonts w:cstheme="minorHAnsi"/>
          <w:color w:val="000000" w:themeColor="text1"/>
        </w:rPr>
        <w:t xml:space="preserve">ve Rusya'nın </w:t>
      </w:r>
      <w:r w:rsidR="007849B2">
        <w:rPr>
          <w:rFonts w:cstheme="minorHAnsi"/>
          <w:color w:val="000000" w:themeColor="text1"/>
        </w:rPr>
        <w:t>Suriye ekseninde</w:t>
      </w:r>
      <w:r w:rsidR="00185CF6">
        <w:rPr>
          <w:rFonts w:cstheme="minorHAnsi"/>
          <w:color w:val="000000" w:themeColor="text1"/>
        </w:rPr>
        <w:t xml:space="preserve">ki </w:t>
      </w:r>
      <w:r w:rsidR="00185CF6" w:rsidRPr="00B6078E">
        <w:rPr>
          <w:rFonts w:cstheme="minorHAnsi"/>
          <w:color w:val="000000" w:themeColor="text1"/>
        </w:rPr>
        <w:t>Orta</w:t>
      </w:r>
      <w:r w:rsidR="00185CF6">
        <w:rPr>
          <w:rFonts w:cstheme="minorHAnsi"/>
          <w:color w:val="000000" w:themeColor="text1"/>
        </w:rPr>
        <w:t xml:space="preserve"> </w:t>
      </w:r>
      <w:proofErr w:type="spellStart"/>
      <w:r w:rsidR="00185CF6">
        <w:rPr>
          <w:rFonts w:cstheme="minorHAnsi"/>
          <w:color w:val="000000" w:themeColor="text1"/>
        </w:rPr>
        <w:t>D</w:t>
      </w:r>
      <w:r w:rsidR="00185CF6" w:rsidRPr="00B6078E">
        <w:rPr>
          <w:rFonts w:cstheme="minorHAnsi"/>
          <w:color w:val="000000" w:themeColor="text1"/>
        </w:rPr>
        <w:t>oğu</w:t>
      </w:r>
      <w:proofErr w:type="spellEnd"/>
      <w:r w:rsidR="00185CF6">
        <w:rPr>
          <w:rFonts w:cstheme="minorHAnsi"/>
          <w:color w:val="000000" w:themeColor="text1"/>
        </w:rPr>
        <w:t xml:space="preserve"> hamlelerinin</w:t>
      </w:r>
      <w:r w:rsidR="007849B2">
        <w:rPr>
          <w:rFonts w:cstheme="minorHAnsi"/>
          <w:color w:val="000000" w:themeColor="text1"/>
        </w:rPr>
        <w:t xml:space="preserve"> Türkiye’ye yansıma</w:t>
      </w:r>
      <w:r w:rsidR="0094230B">
        <w:rPr>
          <w:rFonts w:cstheme="minorHAnsi"/>
          <w:color w:val="000000" w:themeColor="text1"/>
        </w:rPr>
        <w:t>ları</w:t>
      </w:r>
      <w:r w:rsidR="00A22099">
        <w:rPr>
          <w:rFonts w:cstheme="minorHAnsi"/>
          <w:color w:val="000000" w:themeColor="text1"/>
        </w:rPr>
        <w:t xml:space="preserve"> son</w:t>
      </w:r>
      <w:r w:rsidR="004A78DF">
        <w:rPr>
          <w:rFonts w:cstheme="minorHAnsi"/>
          <w:color w:val="000000" w:themeColor="text1"/>
        </w:rPr>
        <w:t xml:space="preserve"> dönemde</w:t>
      </w:r>
      <w:r w:rsidR="00C12D87">
        <w:rPr>
          <w:rFonts w:cstheme="minorHAnsi"/>
          <w:color w:val="000000" w:themeColor="text1"/>
        </w:rPr>
        <w:t xml:space="preserve"> de</w:t>
      </w:r>
      <w:r w:rsidR="00BD2B22">
        <w:rPr>
          <w:rFonts w:cstheme="minorHAnsi"/>
          <w:color w:val="000000" w:themeColor="text1"/>
        </w:rPr>
        <w:t xml:space="preserve"> </w:t>
      </w:r>
      <w:r w:rsidR="00C62E7A">
        <w:rPr>
          <w:rFonts w:cstheme="minorHAnsi"/>
          <w:color w:val="000000" w:themeColor="text1"/>
        </w:rPr>
        <w:t>öne çıkm</w:t>
      </w:r>
      <w:r w:rsidR="00BD2B22">
        <w:rPr>
          <w:rFonts w:cstheme="minorHAnsi"/>
          <w:color w:val="000000" w:themeColor="text1"/>
        </w:rPr>
        <w:t>ıştır.</w:t>
      </w:r>
      <w:r w:rsidR="00C12D87">
        <w:rPr>
          <w:rFonts w:cstheme="minorHAnsi"/>
          <w:color w:val="000000" w:themeColor="text1"/>
        </w:rPr>
        <w:t xml:space="preserve"> </w:t>
      </w:r>
    </w:p>
    <w:p w:rsidR="00A22099" w:rsidRDefault="00A22099" w:rsidP="00DC61D8">
      <w:pPr>
        <w:autoSpaceDE w:val="0"/>
        <w:autoSpaceDN w:val="0"/>
        <w:adjustRightInd w:val="0"/>
        <w:spacing w:after="0" w:line="240" w:lineRule="auto"/>
        <w:jc w:val="both"/>
      </w:pPr>
    </w:p>
    <w:p w:rsidR="00DC61D8" w:rsidRDefault="00DC61D8" w:rsidP="00DC61D8">
      <w:pPr>
        <w:autoSpaceDE w:val="0"/>
        <w:autoSpaceDN w:val="0"/>
        <w:adjustRightInd w:val="0"/>
        <w:spacing w:after="0" w:line="240" w:lineRule="auto"/>
        <w:jc w:val="both"/>
      </w:pPr>
      <w:r>
        <w:t>Türkiye</w:t>
      </w:r>
      <w:r w:rsidR="00C12D87">
        <w:t xml:space="preserve">’nin Rusya’dan satın aldığı S-400 </w:t>
      </w:r>
      <w:r w:rsidR="00E25A04">
        <w:t xml:space="preserve">hava </w:t>
      </w:r>
      <w:r w:rsidR="00C12D87">
        <w:t xml:space="preserve">savunma sistemleri, </w:t>
      </w:r>
      <w:r>
        <w:t xml:space="preserve">ABD </w:t>
      </w:r>
      <w:r w:rsidR="00C12D87">
        <w:t xml:space="preserve">ile </w:t>
      </w:r>
      <w:r>
        <w:t>ilişkilerin</w:t>
      </w:r>
      <w:r w:rsidR="00C12D87">
        <w:t xml:space="preserve">de </w:t>
      </w:r>
      <w:r w:rsidR="00185CF6">
        <w:t>özellikle yılın ilk yarısı</w:t>
      </w:r>
      <w:r w:rsidR="00DF0524">
        <w:t>nda</w:t>
      </w:r>
      <w:r w:rsidR="00185CF6">
        <w:t xml:space="preserve"> </w:t>
      </w:r>
      <w:r w:rsidR="00C12D87">
        <w:t xml:space="preserve">önemli bir gerginlik unsuru olmuş, </w:t>
      </w:r>
      <w:r w:rsidR="00185CF6">
        <w:t xml:space="preserve">Temmuz ayından bugüne kadar </w:t>
      </w:r>
      <w:r w:rsidR="00C12D87">
        <w:t xml:space="preserve">bu konuda </w:t>
      </w:r>
      <w:r w:rsidR="00185CF6">
        <w:t>ABD'ni</w:t>
      </w:r>
      <w:r>
        <w:t xml:space="preserve">n Türkiye için </w:t>
      </w:r>
      <w:r w:rsidR="00185CF6">
        <w:t xml:space="preserve">açıklayacağı yaptırım kararının ne olacağı </w:t>
      </w:r>
      <w:r w:rsidR="004A78DF">
        <w:t xml:space="preserve">sorusu </w:t>
      </w:r>
      <w:r w:rsidR="00185CF6">
        <w:t xml:space="preserve">gündemi meşgul etmiştir. </w:t>
      </w:r>
      <w:r w:rsidR="00DF0524">
        <w:t>Eylül ayında ise s</w:t>
      </w:r>
      <w:r w:rsidR="00185CF6">
        <w:t xml:space="preserve">öz konusu </w:t>
      </w:r>
      <w:r w:rsidR="00C12D87">
        <w:t>tartışmalar yerini ilişkilerde ticaretin geliştirilmesini içeren yeni bir müzakere sürecine bırakmıştır. İki ülke arasında</w:t>
      </w:r>
      <w:r w:rsidR="004A78DF">
        <w:t xml:space="preserve"> ortak ticaret hacminin</w:t>
      </w:r>
      <w:r w:rsidR="00C12D87">
        <w:t>, Türkiye’nin</w:t>
      </w:r>
      <w:r>
        <w:t xml:space="preserve"> ABD'den F</w:t>
      </w:r>
      <w:r w:rsidR="00C12D87">
        <w:t>-</w:t>
      </w:r>
      <w:r>
        <w:t xml:space="preserve">35 </w:t>
      </w:r>
      <w:r w:rsidR="00E25A04">
        <w:t>sisteminin</w:t>
      </w:r>
      <w:r w:rsidR="00C12D87">
        <w:t xml:space="preserve"> </w:t>
      </w:r>
      <w:r w:rsidR="004A78DF">
        <w:t xml:space="preserve">alımını da içerebilecek şekilde </w:t>
      </w:r>
      <w:r w:rsidR="00C12D87">
        <w:t xml:space="preserve">5 kat artırılarak </w:t>
      </w:r>
      <w:r>
        <w:t xml:space="preserve">100 milyar </w:t>
      </w:r>
      <w:r w:rsidR="00C12D87">
        <w:t>ABD Doları seviyesine</w:t>
      </w:r>
      <w:r>
        <w:t xml:space="preserve"> çıkarılması</w:t>
      </w:r>
      <w:r w:rsidR="00C12D87">
        <w:t xml:space="preserve"> hedefi </w:t>
      </w:r>
      <w:r>
        <w:t>çerçevesinde genel bir mutabakata varılm</w:t>
      </w:r>
      <w:r w:rsidR="00C12D87">
        <w:t xml:space="preserve">ıştır. İlişkilerde </w:t>
      </w:r>
      <w:r>
        <w:t>pozitif bir döneme işaret e</w:t>
      </w:r>
      <w:r w:rsidR="00C12D87">
        <w:t>den bu gelişmel</w:t>
      </w:r>
      <w:r w:rsidR="004A78DF">
        <w:t xml:space="preserve">er ile </w:t>
      </w:r>
      <w:r w:rsidR="00D03552">
        <w:t xml:space="preserve">son dönemde </w:t>
      </w:r>
      <w:r w:rsidR="00C12D87">
        <w:t>s</w:t>
      </w:r>
      <w:r>
        <w:t>akin seyre</w:t>
      </w:r>
      <w:r w:rsidR="00C12D87">
        <w:t xml:space="preserve">tmekte olan </w:t>
      </w:r>
      <w:r>
        <w:t>Dolar/TL</w:t>
      </w:r>
      <w:r w:rsidRPr="00DC61D8">
        <w:t xml:space="preserve"> kurunda TL lehine bir seyir izlenmiş, </w:t>
      </w:r>
      <w:r w:rsidR="00185CF6">
        <w:t>borsada</w:t>
      </w:r>
      <w:r w:rsidR="00D03552">
        <w:t xml:space="preserve"> yükseliş yaşamıştır. </w:t>
      </w:r>
      <w:r w:rsidR="00185CF6">
        <w:t>Tüm bu olumlu gelişme ve beklentilere karşın o</w:t>
      </w:r>
      <w:r w:rsidRPr="00DC61D8">
        <w:t>rtak ticaret hedef</w:t>
      </w:r>
      <w:r w:rsidR="00185CF6">
        <w:t>in</w:t>
      </w:r>
      <w:r w:rsidR="00D03552">
        <w:t>e</w:t>
      </w:r>
      <w:r w:rsidR="00185CF6">
        <w:t xml:space="preserve"> ilişkin olarak;</w:t>
      </w:r>
      <w:r w:rsidRPr="00DC61D8">
        <w:t xml:space="preserve"> Türkiye</w:t>
      </w:r>
      <w:r w:rsidR="00D03552">
        <w:t>’</w:t>
      </w:r>
      <w:r w:rsidRPr="00DC61D8">
        <w:t xml:space="preserve">nin yüksek teknoloji ihracatındaki düşük </w:t>
      </w:r>
      <w:proofErr w:type="gramStart"/>
      <w:r w:rsidRPr="00DC61D8">
        <w:t>profili</w:t>
      </w:r>
      <w:proofErr w:type="gramEnd"/>
      <w:r w:rsidRPr="00DC61D8">
        <w:t xml:space="preserve">, AB ile </w:t>
      </w:r>
      <w:r w:rsidR="00D03552" w:rsidRPr="00DC61D8">
        <w:t xml:space="preserve">Gümrük Birliği Anlaşması </w:t>
      </w:r>
      <w:r w:rsidRPr="00DC61D8">
        <w:t>ve ABD ile konunun müzakere sürecinde ortaya çıkabilecek anlaşmazlıklar gelecek dönemin sıkıntılı konu başlıkları olabilecektir.</w:t>
      </w:r>
    </w:p>
    <w:p w:rsidR="00402F30" w:rsidRDefault="00402F30" w:rsidP="00DC61D8">
      <w:pPr>
        <w:autoSpaceDE w:val="0"/>
        <w:autoSpaceDN w:val="0"/>
        <w:adjustRightInd w:val="0"/>
        <w:spacing w:after="0" w:line="240" w:lineRule="auto"/>
        <w:jc w:val="both"/>
      </w:pPr>
    </w:p>
    <w:p w:rsidR="00402F30" w:rsidRDefault="00402F30" w:rsidP="00402F30">
      <w:pPr>
        <w:autoSpaceDE w:val="0"/>
        <w:autoSpaceDN w:val="0"/>
        <w:adjustRightInd w:val="0"/>
        <w:spacing w:after="0" w:line="240" w:lineRule="auto"/>
        <w:jc w:val="both"/>
      </w:pPr>
      <w:r>
        <w:t xml:space="preserve">Ekim ayı başında raporun yayına hazırlandığı günlerde, Orta Doğu’da artan jeopolitik risklere paralel olarak ABD Başkanı </w:t>
      </w:r>
      <w:proofErr w:type="spellStart"/>
      <w:r>
        <w:t>Trump’ın</w:t>
      </w:r>
      <w:proofErr w:type="spellEnd"/>
      <w:r>
        <w:t xml:space="preserve"> Türkiye’ye ilişkin açıklamalarının ardından USD/TL ve EUR/TL</w:t>
      </w:r>
      <w:r w:rsidR="004A78DF">
        <w:t xml:space="preserve"> kurları</w:t>
      </w:r>
      <w:r>
        <w:t xml:space="preserve"> aynı gün içinde %2’nin üzerinde yükselişle sırasıyla 5,83 ve 6,39 düzeyine çıkmıştır.</w:t>
      </w:r>
    </w:p>
    <w:p w:rsidR="00324A8D" w:rsidRDefault="00324A8D" w:rsidP="006D79A2">
      <w:pPr>
        <w:autoSpaceDE w:val="0"/>
        <w:autoSpaceDN w:val="0"/>
        <w:adjustRightInd w:val="0"/>
        <w:spacing w:after="0" w:line="240" w:lineRule="auto"/>
        <w:jc w:val="both"/>
      </w:pPr>
    </w:p>
    <w:p w:rsidR="00E02FF6" w:rsidRDefault="00185CF6" w:rsidP="006D65EF">
      <w:pPr>
        <w:autoSpaceDE w:val="0"/>
        <w:autoSpaceDN w:val="0"/>
        <w:adjustRightInd w:val="0"/>
        <w:spacing w:after="0" w:line="240" w:lineRule="auto"/>
        <w:jc w:val="both"/>
      </w:pPr>
      <w:r>
        <w:t xml:space="preserve">Normalleşme çabaları sürerken </w:t>
      </w:r>
      <w:r w:rsidR="006D65EF">
        <w:t>Türkiye ekonomisi</w:t>
      </w:r>
      <w:r w:rsidR="00D03552">
        <w:t xml:space="preserve">ndeki küçülme </w:t>
      </w:r>
      <w:r w:rsidR="006D65EF">
        <w:t xml:space="preserve">yılın ikinci çeyreğinde </w:t>
      </w:r>
      <w:r w:rsidR="00D03552">
        <w:t>de devam etmiş</w:t>
      </w:r>
      <w:r>
        <w:t xml:space="preserve"> ve</w:t>
      </w:r>
      <w:r w:rsidR="00D03552">
        <w:t xml:space="preserve"> GSYH </w:t>
      </w:r>
      <w:r w:rsidR="006D65EF">
        <w:t xml:space="preserve">2018 yılının aynı dönemine </w:t>
      </w:r>
      <w:r w:rsidR="00D03552">
        <w:t>kıyasla</w:t>
      </w:r>
      <w:r w:rsidR="006D65EF">
        <w:t xml:space="preserve"> %1,5 oranında </w:t>
      </w:r>
      <w:r w:rsidR="00D03552">
        <w:t>daralmıştır</w:t>
      </w:r>
      <w:r w:rsidR="006D65EF">
        <w:t xml:space="preserve">. </w:t>
      </w:r>
      <w:r w:rsidR="00D03552">
        <w:t xml:space="preserve">Bu dönemde </w:t>
      </w:r>
      <w:r w:rsidR="00D03552" w:rsidRPr="00185CF6">
        <w:t>k</w:t>
      </w:r>
      <w:r w:rsidR="003E1B1B" w:rsidRPr="00185CF6">
        <w:t>amu harcamaları ve</w:t>
      </w:r>
      <w:r w:rsidR="007A481C" w:rsidRPr="00185CF6">
        <w:t xml:space="preserve"> net ihracat</w:t>
      </w:r>
      <w:r w:rsidR="00D03552" w:rsidRPr="00185CF6">
        <w:t>ın</w:t>
      </w:r>
      <w:r w:rsidR="007A481C" w:rsidRPr="00185CF6">
        <w:t xml:space="preserve"> </w:t>
      </w:r>
      <w:r w:rsidRPr="00185CF6">
        <w:t xml:space="preserve">milli geliri </w:t>
      </w:r>
      <w:r w:rsidR="007A481C" w:rsidRPr="00185CF6">
        <w:t>desteklemeyi sürdür</w:t>
      </w:r>
      <w:r w:rsidR="00AF36A6">
        <w:t>ürken,</w:t>
      </w:r>
      <w:r w:rsidR="007A481C" w:rsidRPr="00185CF6">
        <w:t xml:space="preserve"> tüketim ve </w:t>
      </w:r>
      <w:r w:rsidR="00DC61D8" w:rsidRPr="00185CF6">
        <w:t>yatırımlardaki zayıf sey</w:t>
      </w:r>
      <w:r w:rsidR="00AF36A6">
        <w:t xml:space="preserve">ir sürmüştür. </w:t>
      </w:r>
      <w:r w:rsidR="006E3EFD" w:rsidRPr="00185CF6">
        <w:t>Hizmetler ve tarım sektörleri</w:t>
      </w:r>
      <w:r w:rsidR="00D03552" w:rsidRPr="00185CF6">
        <w:t xml:space="preserve"> ekonomik aktiviteyi </w:t>
      </w:r>
      <w:r w:rsidR="006E3EFD" w:rsidRPr="00185CF6">
        <w:t xml:space="preserve">yukarı yönlü </w:t>
      </w:r>
      <w:r w:rsidR="00D03552" w:rsidRPr="00185CF6">
        <w:t>destekle</w:t>
      </w:r>
      <w:r w:rsidR="00AF36A6">
        <w:t>rken</w:t>
      </w:r>
      <w:r w:rsidR="00D03552" w:rsidRPr="00185CF6">
        <w:t xml:space="preserve">, </w:t>
      </w:r>
      <w:r w:rsidR="006E3EFD" w:rsidRPr="00185CF6">
        <w:t xml:space="preserve">sanayi ve inşaat sektörleri </w:t>
      </w:r>
      <w:r w:rsidR="00D03552" w:rsidRPr="00185CF6">
        <w:t>sırasıyla</w:t>
      </w:r>
      <w:r w:rsidRPr="00185CF6">
        <w:t xml:space="preserve"> %2,7 ve %12,7 </w:t>
      </w:r>
      <w:r w:rsidR="00D03552" w:rsidRPr="00185CF6">
        <w:t>oranlarında küçülm</w:t>
      </w:r>
      <w:r w:rsidR="006E3EFD" w:rsidRPr="00185CF6">
        <w:t>üştür.</w:t>
      </w:r>
      <w:r w:rsidR="006E3EFD">
        <w:t xml:space="preserve"> </w:t>
      </w:r>
    </w:p>
    <w:p w:rsidR="00185CF6" w:rsidRDefault="00185CF6" w:rsidP="00185CF6">
      <w:pPr>
        <w:autoSpaceDE w:val="0"/>
        <w:autoSpaceDN w:val="0"/>
        <w:adjustRightInd w:val="0"/>
        <w:spacing w:after="0" w:line="240" w:lineRule="auto"/>
        <w:jc w:val="both"/>
      </w:pPr>
    </w:p>
    <w:p w:rsidR="000713CC" w:rsidRDefault="00185CF6" w:rsidP="00185CF6">
      <w:pPr>
        <w:autoSpaceDE w:val="0"/>
        <w:autoSpaceDN w:val="0"/>
        <w:adjustRightInd w:val="0"/>
        <w:spacing w:after="0" w:line="240" w:lineRule="auto"/>
        <w:jc w:val="both"/>
        <w:rPr>
          <w:rFonts w:cs="Arial"/>
        </w:rPr>
      </w:pPr>
      <w:r>
        <w:t>İnşaat sektörü 2019 yılının ilk yarısında %11 oranında daralmış olup</w:t>
      </w:r>
      <w:r w:rsidR="00DF0524">
        <w:t>,</w:t>
      </w:r>
      <w:r w:rsidR="00AB0F1A">
        <w:t xml:space="preserve"> y</w:t>
      </w:r>
      <w:r w:rsidR="006E3EFD">
        <w:t xml:space="preserve">urtdışı inşaat sektörü </w:t>
      </w:r>
      <w:r w:rsidR="00AB0F1A">
        <w:t xml:space="preserve">için de </w:t>
      </w:r>
      <w:r>
        <w:t>2019 yılının çetin geç</w:t>
      </w:r>
      <w:r w:rsidR="00AF36A6">
        <w:t>mekte olduğu</w:t>
      </w:r>
      <w:r>
        <w:t xml:space="preserve"> izlenmektedir. </w:t>
      </w:r>
      <w:r w:rsidR="006E3EFD">
        <w:t>Ticaret Bakanlığı verilerine göre</w:t>
      </w:r>
      <w:r>
        <w:t>;</w:t>
      </w:r>
      <w:r w:rsidR="006E3EFD">
        <w:t xml:space="preserve"> yılı</w:t>
      </w:r>
      <w:r w:rsidR="00AB0F1A">
        <w:t>n</w:t>
      </w:r>
      <w:r w:rsidR="006E3EFD">
        <w:t xml:space="preserve"> ilk 9 ayında yurtdışında </w:t>
      </w:r>
      <w:r w:rsidR="00AB0F1A">
        <w:t xml:space="preserve">Türk </w:t>
      </w:r>
      <w:proofErr w:type="gramStart"/>
      <w:r w:rsidR="00AB0F1A" w:rsidRPr="00E0740A">
        <w:t>müteahhitleri</w:t>
      </w:r>
      <w:proofErr w:type="gramEnd"/>
      <w:r w:rsidR="00AB0F1A" w:rsidRPr="00E0740A">
        <w:t xml:space="preserve"> tarafından </w:t>
      </w:r>
      <w:r w:rsidR="00E0740A" w:rsidRPr="00E0740A">
        <w:t>7,5 milyar</w:t>
      </w:r>
      <w:r w:rsidR="006E3EFD" w:rsidRPr="00E0740A">
        <w:t xml:space="preserve"> AB</w:t>
      </w:r>
      <w:r w:rsidR="00AB0F1A" w:rsidRPr="00E0740A">
        <w:t>D</w:t>
      </w:r>
      <w:r w:rsidR="006E3EFD" w:rsidRPr="00E0740A">
        <w:t xml:space="preserve"> Doları</w:t>
      </w:r>
      <w:r w:rsidR="00AB0F1A" w:rsidRPr="00E0740A">
        <w:t xml:space="preserve"> </w:t>
      </w:r>
      <w:r w:rsidR="00DF0524">
        <w:t xml:space="preserve">tutarında </w:t>
      </w:r>
      <w:r w:rsidR="00AB0F1A" w:rsidRPr="00E0740A">
        <w:t>proje</w:t>
      </w:r>
      <w:r>
        <w:t xml:space="preserve"> üstlenilmiştir. </w:t>
      </w:r>
      <w:r w:rsidR="00453ED6">
        <w:t>Müteahhitlerin</w:t>
      </w:r>
      <w:r w:rsidR="000713CC">
        <w:t xml:space="preserve"> geçtiğimiz yıl üstlendiği proje tutarı aynı dönem için </w:t>
      </w:r>
      <w:r>
        <w:t>12,4 milyar ABD Doları</w:t>
      </w:r>
      <w:r w:rsidR="00DF0524">
        <w:t xml:space="preserve"> </w:t>
      </w:r>
      <w:r>
        <w:t xml:space="preserve">olmuştur. Bu durum </w:t>
      </w:r>
      <w:r w:rsidR="000713CC">
        <w:t>sektörün</w:t>
      </w:r>
      <w:r>
        <w:t xml:space="preserve"> yurtiçin</w:t>
      </w:r>
      <w:r w:rsidR="000713CC">
        <w:t>d</w:t>
      </w:r>
      <w:r>
        <w:t xml:space="preserve">eki sorunlarının yanı sıra </w:t>
      </w:r>
      <w:r w:rsidR="000713CC">
        <w:t xml:space="preserve">yurtdışındaki </w:t>
      </w:r>
      <w:r>
        <w:t xml:space="preserve">finansman </w:t>
      </w:r>
      <w:r w:rsidR="000713CC">
        <w:t>temini probleminin artması ve küresel pazardaki durgunlukla açıklanmaktadır.</w:t>
      </w:r>
      <w:r>
        <w:t xml:space="preserve"> U</w:t>
      </w:r>
      <w:r w:rsidR="00C66A99">
        <w:rPr>
          <w:rFonts w:cs="Calibri"/>
        </w:rPr>
        <w:t>luslararası inşaat sektörü dergisi ENR (</w:t>
      </w:r>
      <w:proofErr w:type="spellStart"/>
      <w:r w:rsidR="00C66A99">
        <w:rPr>
          <w:rFonts w:cs="Calibri"/>
        </w:rPr>
        <w:t>Engineerin</w:t>
      </w:r>
      <w:r w:rsidR="00AB0F1A">
        <w:rPr>
          <w:rFonts w:cs="Calibri"/>
        </w:rPr>
        <w:t>g</w:t>
      </w:r>
      <w:proofErr w:type="spellEnd"/>
      <w:r w:rsidR="00AB0F1A">
        <w:rPr>
          <w:rFonts w:cs="Calibri"/>
        </w:rPr>
        <w:t xml:space="preserve"> </w:t>
      </w:r>
      <w:proofErr w:type="spellStart"/>
      <w:r w:rsidR="00AB0F1A">
        <w:rPr>
          <w:rFonts w:cs="Calibri"/>
        </w:rPr>
        <w:t>News</w:t>
      </w:r>
      <w:proofErr w:type="spellEnd"/>
      <w:r w:rsidR="00AB0F1A">
        <w:rPr>
          <w:rFonts w:cs="Calibri"/>
        </w:rPr>
        <w:t xml:space="preserve"> </w:t>
      </w:r>
      <w:proofErr w:type="spellStart"/>
      <w:r w:rsidR="00AB0F1A">
        <w:rPr>
          <w:rFonts w:cs="Calibri"/>
        </w:rPr>
        <w:t>Record</w:t>
      </w:r>
      <w:proofErr w:type="spellEnd"/>
      <w:r w:rsidR="00AB0F1A">
        <w:rPr>
          <w:rFonts w:cs="Calibri"/>
        </w:rPr>
        <w:t>)</w:t>
      </w:r>
      <w:r w:rsidR="000713CC">
        <w:rPr>
          <w:rFonts w:cs="Calibri"/>
        </w:rPr>
        <w:t xml:space="preserve"> v</w:t>
      </w:r>
      <w:r w:rsidR="00AB0F1A">
        <w:rPr>
          <w:rFonts w:cs="Calibri"/>
        </w:rPr>
        <w:t xml:space="preserve">erilerine göre; </w:t>
      </w:r>
      <w:r w:rsidR="00C66A99">
        <w:rPr>
          <w:rFonts w:cs="Calibri"/>
        </w:rPr>
        <w:t xml:space="preserve">2012 - 2014 döneminde </w:t>
      </w:r>
      <w:r w:rsidR="00AB0F1A">
        <w:rPr>
          <w:rFonts w:cs="Calibri"/>
        </w:rPr>
        <w:t xml:space="preserve">büyüklüğü </w:t>
      </w:r>
      <w:r w:rsidR="000713CC">
        <w:rPr>
          <w:rFonts w:cs="Calibri"/>
        </w:rPr>
        <w:t xml:space="preserve">544 milyar ABD Doları’na kadar çıkan </w:t>
      </w:r>
      <w:r w:rsidR="00AB0F1A">
        <w:rPr>
          <w:rFonts w:cs="Calibri"/>
        </w:rPr>
        <w:t xml:space="preserve">küresel </w:t>
      </w:r>
      <w:r w:rsidR="000713CC">
        <w:rPr>
          <w:rFonts w:cs="Calibri"/>
        </w:rPr>
        <w:t>p</w:t>
      </w:r>
      <w:r w:rsidR="00AB0F1A">
        <w:rPr>
          <w:rFonts w:cs="Calibri"/>
        </w:rPr>
        <w:t>azar</w:t>
      </w:r>
      <w:r w:rsidR="000713CC">
        <w:rPr>
          <w:rFonts w:cs="Calibri"/>
        </w:rPr>
        <w:t xml:space="preserve"> 2018 yılında sadece %1 büyüyerek, </w:t>
      </w:r>
      <w:r w:rsidR="00AB0F1A">
        <w:rPr>
          <w:rFonts w:cs="Arial"/>
        </w:rPr>
        <w:t xml:space="preserve">2017 yılında gözlenen kıpırdanma </w:t>
      </w:r>
      <w:r w:rsidR="000713CC">
        <w:rPr>
          <w:rFonts w:cs="Arial"/>
        </w:rPr>
        <w:t xml:space="preserve">ile sorulan </w:t>
      </w:r>
      <w:r w:rsidR="00AB0F1A">
        <w:rPr>
          <w:rFonts w:cs="Arial"/>
        </w:rPr>
        <w:t>“Küresel pazar yönünü yeniden yukarıya mı çeviriyor?” sorularını</w:t>
      </w:r>
      <w:r w:rsidR="000713CC">
        <w:rPr>
          <w:rFonts w:cs="Arial"/>
        </w:rPr>
        <w:t xml:space="preserve"> haksız çıkarmıştır.</w:t>
      </w:r>
    </w:p>
    <w:p w:rsidR="00E02FF6" w:rsidRDefault="00E02FF6" w:rsidP="00E02FF6">
      <w:pPr>
        <w:spacing w:after="0" w:line="240" w:lineRule="auto"/>
        <w:jc w:val="both"/>
        <w:rPr>
          <w:rFonts w:cs="Calibri"/>
        </w:rPr>
      </w:pPr>
    </w:p>
    <w:p w:rsidR="00CC43D9" w:rsidRDefault="00CC43D9" w:rsidP="00CC43D9">
      <w:pPr>
        <w:autoSpaceDE w:val="0"/>
        <w:autoSpaceDN w:val="0"/>
        <w:adjustRightInd w:val="0"/>
        <w:spacing w:after="0" w:line="240" w:lineRule="auto"/>
        <w:jc w:val="both"/>
        <w:rPr>
          <w:rFonts w:cstheme="minorHAnsi"/>
          <w:color w:val="000000" w:themeColor="text1"/>
        </w:rPr>
      </w:pPr>
      <w:r>
        <w:rPr>
          <w:rFonts w:cs="Calibri"/>
        </w:rPr>
        <w:t xml:space="preserve">Öte yandan, </w:t>
      </w:r>
      <w:r w:rsidR="00E02FF6">
        <w:rPr>
          <w:rFonts w:cs="Calibri"/>
        </w:rPr>
        <w:t>T</w:t>
      </w:r>
      <w:r w:rsidR="00107209">
        <w:t>ürkiye ekonomisi</w:t>
      </w:r>
      <w:r w:rsidR="006D65EF" w:rsidRPr="006E7F12">
        <w:rPr>
          <w:rFonts w:ascii="Calibri" w:hAnsi="Calibri" w:cs="Times New Roman"/>
          <w:lang w:eastAsia="en-US"/>
        </w:rPr>
        <w:t xml:space="preserve"> </w:t>
      </w:r>
      <w:r w:rsidR="00172FB2">
        <w:rPr>
          <w:rFonts w:ascii="Calibri" w:hAnsi="Calibri" w:cs="Times New Roman"/>
          <w:lang w:eastAsia="en-US"/>
        </w:rPr>
        <w:t>küçülmeye</w:t>
      </w:r>
      <w:r w:rsidR="006D65EF" w:rsidRPr="006E7F12">
        <w:rPr>
          <w:rFonts w:ascii="Calibri" w:hAnsi="Calibri" w:cs="Times New Roman"/>
          <w:lang w:eastAsia="en-US"/>
        </w:rPr>
        <w:t xml:space="preserve"> </w:t>
      </w:r>
      <w:r w:rsidR="006D65EF" w:rsidRPr="00923960">
        <w:rPr>
          <w:rFonts w:ascii="Calibri" w:hAnsi="Calibri" w:cs="Times New Roman"/>
          <w:lang w:eastAsia="en-US"/>
        </w:rPr>
        <w:t xml:space="preserve">devam etse de </w:t>
      </w:r>
      <w:r w:rsidRPr="00923960">
        <w:rPr>
          <w:rFonts w:ascii="Calibri" w:hAnsi="Calibri" w:cs="Times New Roman"/>
          <w:lang w:eastAsia="en-US"/>
        </w:rPr>
        <w:t>daralma yavaşlamış, makas kapanmaya başlamıştır.</w:t>
      </w:r>
      <w:r w:rsidR="00BF1664" w:rsidRPr="00BF1664">
        <w:rPr>
          <w:rFonts w:ascii="Calibri" w:hAnsi="Calibri" w:cs="Times New Roman"/>
          <w:lang w:eastAsia="en-US"/>
        </w:rPr>
        <w:t xml:space="preserve"> </w:t>
      </w:r>
      <w:r w:rsidR="00BF1664">
        <w:rPr>
          <w:rFonts w:ascii="Calibri" w:hAnsi="Calibri" w:cs="Times New Roman"/>
          <w:lang w:eastAsia="en-US"/>
        </w:rPr>
        <w:t>Mevsim etkisinden arındırılmış GSYH rakamlarına göre çeyrek dönemler karşılaştırıldığında Ekim</w:t>
      </w:r>
      <w:r w:rsidR="002A6505">
        <w:rPr>
          <w:rFonts w:ascii="Calibri" w:hAnsi="Calibri" w:cs="Times New Roman"/>
          <w:lang w:eastAsia="en-US"/>
        </w:rPr>
        <w:t xml:space="preserve"> </w:t>
      </w:r>
      <w:r w:rsidR="00BF1664">
        <w:rPr>
          <w:rFonts w:ascii="Calibri" w:hAnsi="Calibri" w:cs="Times New Roman"/>
          <w:lang w:eastAsia="en-US"/>
        </w:rPr>
        <w:t>-</w:t>
      </w:r>
      <w:r w:rsidR="002A6505">
        <w:rPr>
          <w:rFonts w:ascii="Calibri" w:hAnsi="Calibri" w:cs="Times New Roman"/>
          <w:lang w:eastAsia="en-US"/>
        </w:rPr>
        <w:t xml:space="preserve"> </w:t>
      </w:r>
      <w:r w:rsidR="00BF1664">
        <w:rPr>
          <w:rFonts w:ascii="Calibri" w:hAnsi="Calibri" w:cs="Times New Roman"/>
          <w:lang w:eastAsia="en-US"/>
        </w:rPr>
        <w:t xml:space="preserve">Aralık 2018 döneminde  %2,8 daralan Türkiye ekonomisi bu yılın ilk </w:t>
      </w:r>
      <w:r w:rsidR="00BF1664" w:rsidRPr="00923960">
        <w:rPr>
          <w:rFonts w:ascii="Calibri" w:hAnsi="Calibri" w:cs="Times New Roman"/>
          <w:lang w:eastAsia="en-US"/>
        </w:rPr>
        <w:t xml:space="preserve">iki çeyreğinde </w:t>
      </w:r>
      <w:r w:rsidR="00BF1664">
        <w:rPr>
          <w:rFonts w:ascii="Calibri" w:hAnsi="Calibri" w:cs="Times New Roman"/>
          <w:lang w:eastAsia="en-US"/>
        </w:rPr>
        <w:t>%1,6 ve %1,2’lik oranlarda büyüme göstermiştir.</w:t>
      </w:r>
      <w:r w:rsidRPr="00923960">
        <w:rPr>
          <w:rFonts w:ascii="Calibri" w:hAnsi="Calibri" w:cs="Times New Roman"/>
          <w:lang w:eastAsia="en-US"/>
        </w:rPr>
        <w:t xml:space="preserve"> </w:t>
      </w:r>
      <w:r w:rsidR="00AF36A6">
        <w:rPr>
          <w:rFonts w:ascii="Calibri" w:hAnsi="Calibri" w:cs="Times New Roman"/>
          <w:lang w:eastAsia="en-US"/>
        </w:rPr>
        <w:t xml:space="preserve">Ayrıca </w:t>
      </w:r>
      <w:r w:rsidR="00172FB2" w:rsidRPr="00923960">
        <w:rPr>
          <w:rFonts w:cstheme="minorHAnsi"/>
          <w:color w:val="000000" w:themeColor="text1"/>
        </w:rPr>
        <w:t>Eylül ayındaki veri akışı</w:t>
      </w:r>
      <w:r w:rsidR="00AF36A6">
        <w:rPr>
          <w:rFonts w:cstheme="minorHAnsi"/>
          <w:color w:val="000000" w:themeColor="text1"/>
        </w:rPr>
        <w:t>nın</w:t>
      </w:r>
      <w:r w:rsidR="00172FB2" w:rsidRPr="00923960">
        <w:rPr>
          <w:rFonts w:cstheme="minorHAnsi"/>
          <w:color w:val="000000" w:themeColor="text1"/>
        </w:rPr>
        <w:t xml:space="preserve"> </w:t>
      </w:r>
      <w:r w:rsidRPr="00923960">
        <w:rPr>
          <w:rFonts w:cstheme="minorHAnsi"/>
          <w:color w:val="000000" w:themeColor="text1"/>
        </w:rPr>
        <w:t xml:space="preserve">göstergelerde </w:t>
      </w:r>
      <w:r w:rsidR="00172FB2" w:rsidRPr="00923960">
        <w:rPr>
          <w:rFonts w:cstheme="minorHAnsi"/>
          <w:color w:val="000000" w:themeColor="text1"/>
        </w:rPr>
        <w:t xml:space="preserve">dalgalı bir </w:t>
      </w:r>
      <w:r w:rsidRPr="00923960">
        <w:rPr>
          <w:rFonts w:cstheme="minorHAnsi"/>
          <w:color w:val="000000" w:themeColor="text1"/>
        </w:rPr>
        <w:t>görünüm sunm</w:t>
      </w:r>
      <w:r w:rsidR="00AF36A6">
        <w:rPr>
          <w:rFonts w:cstheme="minorHAnsi"/>
          <w:color w:val="000000" w:themeColor="text1"/>
        </w:rPr>
        <w:t>asıyla,</w:t>
      </w:r>
      <w:r w:rsidRPr="00923960">
        <w:rPr>
          <w:rFonts w:cstheme="minorHAnsi"/>
          <w:color w:val="000000" w:themeColor="text1"/>
        </w:rPr>
        <w:t xml:space="preserve"> ekonomide </w:t>
      </w:r>
      <w:r w:rsidR="00172FB2" w:rsidRPr="00923960">
        <w:rPr>
          <w:rFonts w:cstheme="minorHAnsi"/>
          <w:color w:val="000000" w:themeColor="text1"/>
        </w:rPr>
        <w:t>kırılgan bir toparlanmanın başladığı ancak düşük büyüme ve yüksek enflasyon patikasında bir süre daha devam edileceği görüş</w:t>
      </w:r>
      <w:r w:rsidRPr="00923960">
        <w:rPr>
          <w:rFonts w:cstheme="minorHAnsi"/>
          <w:color w:val="000000" w:themeColor="text1"/>
        </w:rPr>
        <w:t>ü</w:t>
      </w:r>
      <w:r w:rsidR="00172FB2" w:rsidRPr="00923960">
        <w:rPr>
          <w:rFonts w:cstheme="minorHAnsi"/>
          <w:color w:val="000000" w:themeColor="text1"/>
        </w:rPr>
        <w:t xml:space="preserve"> ağırlık kazanm</w:t>
      </w:r>
      <w:r w:rsidRPr="00923960">
        <w:rPr>
          <w:rFonts w:cstheme="minorHAnsi"/>
          <w:color w:val="000000" w:themeColor="text1"/>
        </w:rPr>
        <w:t>ıştır.</w:t>
      </w:r>
    </w:p>
    <w:p w:rsidR="00CC43D9" w:rsidRDefault="00CC43D9" w:rsidP="00172FB2">
      <w:pPr>
        <w:autoSpaceDE w:val="0"/>
        <w:autoSpaceDN w:val="0"/>
        <w:adjustRightInd w:val="0"/>
        <w:spacing w:after="0" w:line="240" w:lineRule="auto"/>
        <w:jc w:val="both"/>
        <w:rPr>
          <w:rFonts w:cstheme="minorHAnsi"/>
          <w:color w:val="000000" w:themeColor="text1"/>
        </w:rPr>
      </w:pPr>
    </w:p>
    <w:p w:rsidR="00DB58CC" w:rsidRDefault="00DC61D8" w:rsidP="008870CE">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Uluslararası kuruluşların </w:t>
      </w:r>
      <w:r w:rsidR="00CC43D9">
        <w:rPr>
          <w:rFonts w:cstheme="minorHAnsi"/>
          <w:color w:val="000000" w:themeColor="text1"/>
        </w:rPr>
        <w:t xml:space="preserve">da </w:t>
      </w:r>
      <w:r w:rsidR="00DB58CC">
        <w:rPr>
          <w:rFonts w:cstheme="minorHAnsi"/>
          <w:color w:val="000000" w:themeColor="text1"/>
        </w:rPr>
        <w:t>Türkiye</w:t>
      </w:r>
      <w:r w:rsidR="00CC43D9">
        <w:rPr>
          <w:rFonts w:cstheme="minorHAnsi"/>
          <w:color w:val="000000" w:themeColor="text1"/>
        </w:rPr>
        <w:t>’ye yön</w:t>
      </w:r>
      <w:r w:rsidR="00DB58CC">
        <w:rPr>
          <w:rFonts w:cstheme="minorHAnsi"/>
          <w:color w:val="000000" w:themeColor="text1"/>
        </w:rPr>
        <w:t>elik beklentileri</w:t>
      </w:r>
      <w:r w:rsidR="00132110">
        <w:rPr>
          <w:rFonts w:cstheme="minorHAnsi"/>
          <w:color w:val="000000" w:themeColor="text1"/>
        </w:rPr>
        <w:t xml:space="preserve"> geçtiğimiz çeyrek dönemde</w:t>
      </w:r>
      <w:r w:rsidR="00DB58CC">
        <w:rPr>
          <w:rFonts w:cstheme="minorHAnsi"/>
          <w:color w:val="000000" w:themeColor="text1"/>
        </w:rPr>
        <w:t xml:space="preserve"> </w:t>
      </w:r>
      <w:r>
        <w:rPr>
          <w:rFonts w:cstheme="minorHAnsi"/>
          <w:color w:val="000000" w:themeColor="text1"/>
        </w:rPr>
        <w:t>daha iyimser bir hal almıştır.</w:t>
      </w:r>
      <w:r w:rsidR="00CC43D9">
        <w:rPr>
          <w:rFonts w:cstheme="minorHAnsi"/>
          <w:color w:val="000000" w:themeColor="text1"/>
        </w:rPr>
        <w:t xml:space="preserve"> </w:t>
      </w:r>
      <w:r w:rsidR="00FF18BF">
        <w:rPr>
          <w:rFonts w:cstheme="minorHAnsi"/>
          <w:color w:val="000000" w:themeColor="text1"/>
        </w:rPr>
        <w:t xml:space="preserve">Türkiye ekonomisinde 2019 yılı için </w:t>
      </w:r>
      <w:r w:rsidR="00AF36A6">
        <w:rPr>
          <w:rFonts w:cstheme="minorHAnsi"/>
          <w:color w:val="000000" w:themeColor="text1"/>
        </w:rPr>
        <w:t xml:space="preserve">ortaya koyduğu </w:t>
      </w:r>
      <w:r w:rsidR="00FF18BF">
        <w:rPr>
          <w:rFonts w:cstheme="minorHAnsi"/>
          <w:color w:val="000000" w:themeColor="text1"/>
        </w:rPr>
        <w:t>küçülme beklentisini</w:t>
      </w:r>
      <w:r w:rsidR="00AF36A6">
        <w:rPr>
          <w:rFonts w:cstheme="minorHAnsi"/>
          <w:color w:val="000000" w:themeColor="text1"/>
        </w:rPr>
        <w:t xml:space="preserve"> Uluslararası </w:t>
      </w:r>
      <w:r w:rsidR="00AF36A6">
        <w:rPr>
          <w:rFonts w:cstheme="minorHAnsi"/>
          <w:color w:val="000000" w:themeColor="text1"/>
        </w:rPr>
        <w:lastRenderedPageBreak/>
        <w:t>Para Fonu (IMF)</w:t>
      </w:r>
      <w:r w:rsidR="00FF18BF">
        <w:rPr>
          <w:rFonts w:cstheme="minorHAnsi"/>
          <w:color w:val="000000" w:themeColor="text1"/>
        </w:rPr>
        <w:t xml:space="preserve"> 5 ay aradan sonra %2,5’den</w:t>
      </w:r>
      <w:r w:rsidR="00DB58CC" w:rsidRPr="00BB5D2F">
        <w:rPr>
          <w:rFonts w:cstheme="minorHAnsi"/>
          <w:color w:val="000000" w:themeColor="text1"/>
        </w:rPr>
        <w:t xml:space="preserve"> </w:t>
      </w:r>
      <w:r w:rsidR="00F661CE">
        <w:rPr>
          <w:rFonts w:cstheme="minorHAnsi"/>
          <w:color w:val="000000" w:themeColor="text1"/>
        </w:rPr>
        <w:t>%0,25</w:t>
      </w:r>
      <w:r w:rsidR="00FF18BF">
        <w:rPr>
          <w:rFonts w:cstheme="minorHAnsi"/>
          <w:color w:val="000000" w:themeColor="text1"/>
        </w:rPr>
        <w:t>’e, O</w:t>
      </w:r>
      <w:r w:rsidR="00DB58CC">
        <w:rPr>
          <w:rFonts w:cstheme="minorHAnsi"/>
          <w:color w:val="000000" w:themeColor="text1"/>
        </w:rPr>
        <w:t xml:space="preserve">ECD </w:t>
      </w:r>
      <w:r w:rsidR="00AF36A6">
        <w:rPr>
          <w:rFonts w:cstheme="minorHAnsi"/>
          <w:color w:val="000000" w:themeColor="text1"/>
        </w:rPr>
        <w:t>is</w:t>
      </w:r>
      <w:r w:rsidR="008870CE">
        <w:rPr>
          <w:rFonts w:cstheme="minorHAnsi"/>
          <w:color w:val="000000" w:themeColor="text1"/>
        </w:rPr>
        <w:t xml:space="preserve">e </w:t>
      </w:r>
      <w:r w:rsidR="00DB58CC">
        <w:rPr>
          <w:rFonts w:cstheme="minorHAnsi"/>
          <w:color w:val="000000" w:themeColor="text1"/>
        </w:rPr>
        <w:t>%2,</w:t>
      </w:r>
      <w:r w:rsidR="00707D9D">
        <w:rPr>
          <w:rFonts w:cstheme="minorHAnsi"/>
          <w:color w:val="000000" w:themeColor="text1"/>
        </w:rPr>
        <w:t>6</w:t>
      </w:r>
      <w:r w:rsidR="00FF18BF">
        <w:rPr>
          <w:rFonts w:cstheme="minorHAnsi"/>
          <w:color w:val="000000" w:themeColor="text1"/>
        </w:rPr>
        <w:t xml:space="preserve">’dan </w:t>
      </w:r>
      <w:r w:rsidR="00DB58CC">
        <w:rPr>
          <w:rFonts w:cstheme="minorHAnsi"/>
          <w:color w:val="000000" w:themeColor="text1"/>
        </w:rPr>
        <w:t xml:space="preserve">%0,3’e </w:t>
      </w:r>
      <w:r w:rsidR="00FF18BF">
        <w:rPr>
          <w:rFonts w:cstheme="minorHAnsi"/>
          <w:color w:val="000000" w:themeColor="text1"/>
        </w:rPr>
        <w:t xml:space="preserve">indirmiştir. </w:t>
      </w:r>
      <w:r w:rsidR="008870CE">
        <w:rPr>
          <w:rFonts w:cstheme="minorHAnsi"/>
          <w:color w:val="000000" w:themeColor="text1"/>
        </w:rPr>
        <w:t>OECD, Türkiye’nin 2020 yılında %1,5 büyüme kaydetmesini</w:t>
      </w:r>
      <w:r w:rsidR="00FF18BF">
        <w:rPr>
          <w:rFonts w:cstheme="minorHAnsi"/>
          <w:color w:val="000000" w:themeColor="text1"/>
        </w:rPr>
        <w:t xml:space="preserve"> beklediğini</w:t>
      </w:r>
      <w:r w:rsidR="008870CE">
        <w:rPr>
          <w:rFonts w:cstheme="minorHAnsi"/>
          <w:color w:val="000000" w:themeColor="text1"/>
        </w:rPr>
        <w:t xml:space="preserve"> açıklamışt</w:t>
      </w:r>
      <w:r w:rsidR="00FF18BF">
        <w:rPr>
          <w:rFonts w:cstheme="minorHAnsi"/>
          <w:color w:val="000000" w:themeColor="text1"/>
        </w:rPr>
        <w:t>ı</w:t>
      </w:r>
      <w:r w:rsidR="008870CE">
        <w:rPr>
          <w:rFonts w:cstheme="minorHAnsi"/>
          <w:color w:val="000000" w:themeColor="text1"/>
        </w:rPr>
        <w:t>r.</w:t>
      </w:r>
    </w:p>
    <w:p w:rsidR="00DB58CC" w:rsidRDefault="00DB58CC" w:rsidP="00DB58CC">
      <w:pPr>
        <w:autoSpaceDE w:val="0"/>
        <w:autoSpaceDN w:val="0"/>
        <w:adjustRightInd w:val="0"/>
        <w:spacing w:after="0" w:line="240" w:lineRule="auto"/>
        <w:jc w:val="both"/>
        <w:rPr>
          <w:rFonts w:cstheme="minorHAnsi"/>
          <w:color w:val="000000" w:themeColor="text1"/>
        </w:rPr>
      </w:pPr>
    </w:p>
    <w:p w:rsidR="005F3A50" w:rsidRDefault="00DB58CC" w:rsidP="00DB58CC">
      <w:pPr>
        <w:autoSpaceDE w:val="0"/>
        <w:autoSpaceDN w:val="0"/>
        <w:adjustRightInd w:val="0"/>
        <w:spacing w:after="0" w:line="240" w:lineRule="auto"/>
        <w:jc w:val="both"/>
      </w:pPr>
      <w:r w:rsidRPr="00A71FB6">
        <w:rPr>
          <w:rFonts w:cstheme="minorHAnsi"/>
          <w:color w:val="000000" w:themeColor="text1"/>
        </w:rPr>
        <w:t>Üy</w:t>
      </w:r>
      <w:r w:rsidR="00FA3587">
        <w:rPr>
          <w:rFonts w:cstheme="minorHAnsi"/>
          <w:color w:val="000000" w:themeColor="text1"/>
        </w:rPr>
        <w:t>e devletlerle yıllık olarak 4. m</w:t>
      </w:r>
      <w:r w:rsidRPr="00A71FB6">
        <w:rPr>
          <w:rFonts w:cstheme="minorHAnsi"/>
          <w:color w:val="000000" w:themeColor="text1"/>
        </w:rPr>
        <w:t xml:space="preserve">adde görüşmeleri gerçekleştirerek </w:t>
      </w:r>
      <w:r w:rsidR="00AF36A6">
        <w:rPr>
          <w:rFonts w:cstheme="minorHAnsi"/>
          <w:color w:val="000000" w:themeColor="text1"/>
        </w:rPr>
        <w:t xml:space="preserve">üyelerinin </w:t>
      </w:r>
      <w:r w:rsidRPr="00A71FB6">
        <w:rPr>
          <w:rFonts w:cstheme="minorHAnsi"/>
          <w:color w:val="000000" w:themeColor="text1"/>
        </w:rPr>
        <w:t xml:space="preserve">ekonomilerindeki durumu değerlendiren IMF, </w:t>
      </w:r>
      <w:r w:rsidR="0016079D">
        <w:rPr>
          <w:rFonts w:cstheme="minorHAnsi"/>
          <w:color w:val="000000" w:themeColor="text1"/>
        </w:rPr>
        <w:t>Türkiye’ye gerçekleştirilen heyet ziyaretinin ardından</w:t>
      </w:r>
      <w:r w:rsidRPr="00A71FB6">
        <w:rPr>
          <w:rFonts w:cstheme="minorHAnsi"/>
          <w:color w:val="000000" w:themeColor="text1"/>
        </w:rPr>
        <w:t xml:space="preserve"> Eylül ayında yaptığı açıklamada,</w:t>
      </w:r>
      <w:r w:rsidRPr="00A71FB6">
        <w:t xml:space="preserve"> </w:t>
      </w:r>
      <w:r w:rsidR="005F3A50" w:rsidRPr="005F3A50">
        <w:t>Türkiye'nin ekonomi politikaları açısından önündeki en büyük sıkıntıyı odak noktasının kısa vadeli büyüme yerine, orta vadede daha güçlü ve daha kalıcı bir büyüme</w:t>
      </w:r>
      <w:r w:rsidR="00DF0524">
        <w:t>ye</w:t>
      </w:r>
      <w:r w:rsidR="005F3A50" w:rsidRPr="005F3A50">
        <w:t xml:space="preserve"> çevrilmesi</w:t>
      </w:r>
      <w:r w:rsidR="005F3A50">
        <w:t>nin oluşturduğunu belirtmiştir.</w:t>
      </w:r>
      <w:r w:rsidR="00482D93">
        <w:t xml:space="preserve"> </w:t>
      </w:r>
    </w:p>
    <w:p w:rsidR="005F3A50" w:rsidRDefault="005F3A50" w:rsidP="00DB58CC">
      <w:pPr>
        <w:autoSpaceDE w:val="0"/>
        <w:autoSpaceDN w:val="0"/>
        <w:adjustRightInd w:val="0"/>
        <w:spacing w:after="0" w:line="240" w:lineRule="auto"/>
        <w:jc w:val="both"/>
      </w:pPr>
    </w:p>
    <w:p w:rsidR="002C3C05" w:rsidRDefault="005F3A50" w:rsidP="004A36E3">
      <w:pPr>
        <w:autoSpaceDE w:val="0"/>
        <w:autoSpaceDN w:val="0"/>
        <w:adjustRightInd w:val="0"/>
        <w:spacing w:after="0" w:line="240" w:lineRule="auto"/>
        <w:jc w:val="both"/>
        <w:rPr>
          <w:rFonts w:cstheme="minorHAnsi"/>
          <w:color w:val="000000" w:themeColor="text1"/>
        </w:rPr>
      </w:pPr>
      <w:r>
        <w:t>G</w:t>
      </w:r>
      <w:r w:rsidR="00DA65C7" w:rsidRPr="00DA65C7">
        <w:t xml:space="preserve">eçen </w:t>
      </w:r>
      <w:r w:rsidR="00D63F0D">
        <w:t>yıl</w:t>
      </w:r>
      <w:r w:rsidR="00DA65C7" w:rsidRPr="00DA65C7">
        <w:t xml:space="preserve"> </w:t>
      </w:r>
      <w:r w:rsidR="0082413D">
        <w:t xml:space="preserve">kurda yaşanan </w:t>
      </w:r>
      <w:r w:rsidR="002C3C05">
        <w:t>ani yükselişin</w:t>
      </w:r>
      <w:r w:rsidR="0082413D">
        <w:t xml:space="preserve"> </w:t>
      </w:r>
      <w:r w:rsidR="002B396C">
        <w:t>ortaya çıkardığı</w:t>
      </w:r>
      <w:r w:rsidR="0082413D">
        <w:t xml:space="preserve"> </w:t>
      </w:r>
      <w:r w:rsidR="00DA65C7" w:rsidRPr="00DA65C7">
        <w:t>özel sektör borç sorunu</w:t>
      </w:r>
      <w:r w:rsidR="004A36E3">
        <w:t>na ilişkin olarak k</w:t>
      </w:r>
      <w:r w:rsidR="00973663">
        <w:t xml:space="preserve">redi kanallarındaki tıkanıklığın giderilmesi </w:t>
      </w:r>
      <w:r w:rsidR="002B396C">
        <w:t xml:space="preserve">ve yatırımlar ile talepteki gerilemenin tersine çevrilebilmesi </w:t>
      </w:r>
      <w:r w:rsidR="004A36E3">
        <w:t>amacıyla bazı adımlar atılmaya başlanmıştır.</w:t>
      </w:r>
      <w:r w:rsidR="002B63BB">
        <w:t xml:space="preserve"> Yılın ilk yarısı</w:t>
      </w:r>
      <w:r w:rsidR="00DF0524">
        <w:t>nda</w:t>
      </w:r>
      <w:r w:rsidR="002B63BB">
        <w:t xml:space="preserve"> daha çok kamu bankalarının kredilendirme faaliyetleri ekonomiyi desteklemiş</w:t>
      </w:r>
      <w:r w:rsidR="002B396C">
        <w:t>tir. S</w:t>
      </w:r>
      <w:r w:rsidR="002B63BB">
        <w:t xml:space="preserve">onraki adım olarak </w:t>
      </w:r>
      <w:r w:rsidR="002B63BB" w:rsidRPr="00644203">
        <w:rPr>
          <w:rFonts w:cstheme="minorHAnsi"/>
          <w:color w:val="000000" w:themeColor="text1"/>
        </w:rPr>
        <w:t>Bankacılık Düzenleme ve Denetleme Kurumu’n</w:t>
      </w:r>
      <w:r w:rsidR="002B63BB">
        <w:rPr>
          <w:rFonts w:cstheme="minorHAnsi"/>
          <w:color w:val="000000" w:themeColor="text1"/>
        </w:rPr>
        <w:t>un (BDDK)</w:t>
      </w:r>
      <w:r w:rsidR="004A36E3">
        <w:t xml:space="preserve"> bankalara 46 milyar TL büyüklüğündeki sorunlu krediyi</w:t>
      </w:r>
      <w:r w:rsidR="002B63BB">
        <w:t xml:space="preserve"> yılsonuna kadar</w:t>
      </w:r>
      <w:r w:rsidR="002B63BB" w:rsidRPr="002B63BB">
        <w:t xml:space="preserve"> </w:t>
      </w:r>
      <w:r w:rsidR="002B63BB">
        <w:t xml:space="preserve">geri dönmeyen kredi olarak </w:t>
      </w:r>
      <w:r w:rsidR="004A36E3">
        <w:t>takip hesaplarına aktarmaları</w:t>
      </w:r>
      <w:r w:rsidR="002B63BB" w:rsidRPr="002B63BB">
        <w:t xml:space="preserve"> </w:t>
      </w:r>
      <w:r w:rsidR="002B63BB">
        <w:t xml:space="preserve">ve oluşacak zarar için karşılık ayırmasını içeren kararı gündeme gelmiştir. </w:t>
      </w:r>
      <w:r w:rsidR="004A36E3">
        <w:t xml:space="preserve"> </w:t>
      </w:r>
      <w:r w:rsidR="002B396C">
        <w:t>Bu k</w:t>
      </w:r>
      <w:r w:rsidR="00D13C5F">
        <w:t>ararla f</w:t>
      </w:r>
      <w:r w:rsidR="002B63BB">
        <w:t xml:space="preserve">inansman koşulları açısından </w:t>
      </w:r>
      <w:r w:rsidR="002B396C">
        <w:t xml:space="preserve">gelinen noktada </w:t>
      </w:r>
      <w:r w:rsidR="0010641B">
        <w:t xml:space="preserve">sorunlu krediler için </w:t>
      </w:r>
      <w:r w:rsidR="00D13C5F">
        <w:t xml:space="preserve">gereken önlemin alınmış olduğu </w:t>
      </w:r>
      <w:r w:rsidR="00FB77AD">
        <w:t>değerlendirildiği gibi</w:t>
      </w:r>
      <w:r w:rsidR="002B396C">
        <w:t>,</w:t>
      </w:r>
      <w:r w:rsidR="00FB77AD">
        <w:t xml:space="preserve"> </w:t>
      </w:r>
      <w:r w:rsidR="0082413D" w:rsidRPr="00644203">
        <w:t xml:space="preserve">Türkiye’nin özellikle 2001 krizi sonrasında </w:t>
      </w:r>
      <w:r w:rsidR="002C3C05" w:rsidRPr="00644203">
        <w:t xml:space="preserve">sağlam temellere oturtulan </w:t>
      </w:r>
      <w:r w:rsidR="0082413D" w:rsidRPr="00644203">
        <w:t>bankacılık sistemi</w:t>
      </w:r>
      <w:r w:rsidR="002C3C05" w:rsidRPr="00644203">
        <w:t xml:space="preserve"> üzerindeki yüklerin ve risklerin artabileceği </w:t>
      </w:r>
      <w:r w:rsidR="00FB77AD">
        <w:t>endişe</w:t>
      </w:r>
      <w:r w:rsidR="002B396C">
        <w:t>leri de dile getirilmiştir.</w:t>
      </w:r>
      <w:r w:rsidR="0010641B">
        <w:t xml:space="preserve"> IMF,</w:t>
      </w:r>
      <w:r w:rsidR="002B396C">
        <w:t xml:space="preserve"> </w:t>
      </w:r>
      <w:r w:rsidR="00FB77AD">
        <w:rPr>
          <w:rFonts w:cstheme="minorHAnsi"/>
          <w:color w:val="000000" w:themeColor="text1"/>
        </w:rPr>
        <w:t>4. m</w:t>
      </w:r>
      <w:r w:rsidR="00973663" w:rsidRPr="00A71FB6">
        <w:rPr>
          <w:rFonts w:cstheme="minorHAnsi"/>
          <w:color w:val="000000" w:themeColor="text1"/>
        </w:rPr>
        <w:t>adde görüşmeleri</w:t>
      </w:r>
      <w:r w:rsidR="00FB77AD">
        <w:rPr>
          <w:rFonts w:cstheme="minorHAnsi"/>
          <w:color w:val="000000" w:themeColor="text1"/>
        </w:rPr>
        <w:t xml:space="preserve"> sonrası</w:t>
      </w:r>
      <w:r w:rsidR="00973663">
        <w:rPr>
          <w:rFonts w:cstheme="minorHAnsi"/>
          <w:color w:val="000000" w:themeColor="text1"/>
        </w:rPr>
        <w:t xml:space="preserve"> açıkladığı raporda </w:t>
      </w:r>
      <w:r w:rsidR="00FB77AD">
        <w:rPr>
          <w:rFonts w:cstheme="minorHAnsi"/>
          <w:color w:val="000000" w:themeColor="text1"/>
        </w:rPr>
        <w:t xml:space="preserve">bu </w:t>
      </w:r>
      <w:r w:rsidR="00973663">
        <w:rPr>
          <w:rFonts w:cstheme="minorHAnsi"/>
          <w:color w:val="000000" w:themeColor="text1"/>
        </w:rPr>
        <w:t>konuya değin</w:t>
      </w:r>
      <w:r w:rsidR="0010641B">
        <w:rPr>
          <w:rFonts w:cstheme="minorHAnsi"/>
          <w:color w:val="000000" w:themeColor="text1"/>
        </w:rPr>
        <w:t xml:space="preserve">miş, </w:t>
      </w:r>
      <w:r w:rsidR="00973663">
        <w:rPr>
          <w:rFonts w:cstheme="minorHAnsi"/>
          <w:color w:val="000000" w:themeColor="text1"/>
        </w:rPr>
        <w:t>Türkiye’ye</w:t>
      </w:r>
      <w:r w:rsidR="002C3C05" w:rsidRPr="00644203">
        <w:rPr>
          <w:rFonts w:cstheme="minorHAnsi"/>
          <w:color w:val="000000" w:themeColor="text1"/>
        </w:rPr>
        <w:t xml:space="preserve"> kredileri büyütmeye yönelik çabaların yaşayabilir borçlulara kredi sağlanmasını temin etmekle sınırlı olması gerektiği</w:t>
      </w:r>
      <w:r w:rsidR="00973663">
        <w:rPr>
          <w:rFonts w:cstheme="minorHAnsi"/>
          <w:color w:val="000000" w:themeColor="text1"/>
        </w:rPr>
        <w:t xml:space="preserve"> konusunda uyarıda bulunmuştur.</w:t>
      </w:r>
    </w:p>
    <w:p w:rsidR="002C3C05" w:rsidRDefault="002C3C05" w:rsidP="002C3C05">
      <w:pPr>
        <w:autoSpaceDE w:val="0"/>
        <w:autoSpaceDN w:val="0"/>
        <w:adjustRightInd w:val="0"/>
        <w:spacing w:after="0" w:line="240" w:lineRule="auto"/>
        <w:jc w:val="both"/>
        <w:rPr>
          <w:rFonts w:cstheme="minorHAnsi"/>
          <w:color w:val="000000" w:themeColor="text1"/>
        </w:rPr>
      </w:pPr>
    </w:p>
    <w:p w:rsidR="00123A2E" w:rsidRDefault="00A97E4B" w:rsidP="00C26E74">
      <w:pPr>
        <w:autoSpaceDE w:val="0"/>
        <w:autoSpaceDN w:val="0"/>
        <w:adjustRightInd w:val="0"/>
        <w:spacing w:after="0" w:line="240" w:lineRule="auto"/>
        <w:jc w:val="both"/>
        <w:rPr>
          <w:rFonts w:cstheme="minorHAnsi"/>
          <w:color w:val="000000" w:themeColor="text1"/>
        </w:rPr>
      </w:pPr>
      <w:r>
        <w:rPr>
          <w:rFonts w:cstheme="minorHAnsi"/>
          <w:color w:val="000000" w:themeColor="text1"/>
        </w:rPr>
        <w:t>2018 yılın</w:t>
      </w:r>
      <w:r w:rsidR="00123A2E">
        <w:rPr>
          <w:rFonts w:cstheme="minorHAnsi"/>
          <w:color w:val="000000" w:themeColor="text1"/>
        </w:rPr>
        <w:t>ın Eylül ayında ortaya konan pek çok ekonomik hedef ve öngörü</w:t>
      </w:r>
      <w:r>
        <w:rPr>
          <w:rFonts w:cstheme="minorHAnsi"/>
          <w:color w:val="000000" w:themeColor="text1"/>
        </w:rPr>
        <w:t>, geçen</w:t>
      </w:r>
      <w:r w:rsidR="00123A2E">
        <w:rPr>
          <w:rFonts w:cstheme="minorHAnsi"/>
          <w:color w:val="000000" w:themeColor="text1"/>
        </w:rPr>
        <w:t xml:space="preserve"> süreçte gerçekliğini yitirirken</w:t>
      </w:r>
      <w:r>
        <w:rPr>
          <w:rFonts w:cstheme="minorHAnsi"/>
          <w:color w:val="000000" w:themeColor="text1"/>
        </w:rPr>
        <w:t>;</w:t>
      </w:r>
      <w:r w:rsidR="00123A2E">
        <w:rPr>
          <w:rFonts w:cstheme="minorHAnsi"/>
          <w:color w:val="000000" w:themeColor="text1"/>
        </w:rPr>
        <w:t xml:space="preserve"> beklen</w:t>
      </w:r>
      <w:r>
        <w:rPr>
          <w:rFonts w:cstheme="minorHAnsi"/>
          <w:color w:val="000000" w:themeColor="text1"/>
        </w:rPr>
        <w:t xml:space="preserve">tilere paralel olarak </w:t>
      </w:r>
      <w:r w:rsidR="00123A2E">
        <w:rPr>
          <w:rFonts w:cstheme="minorHAnsi"/>
          <w:color w:val="000000" w:themeColor="text1"/>
        </w:rPr>
        <w:t>hükümet tarafından</w:t>
      </w:r>
      <w:r>
        <w:rPr>
          <w:rFonts w:cstheme="minorHAnsi"/>
          <w:color w:val="000000" w:themeColor="text1"/>
        </w:rPr>
        <w:t xml:space="preserve"> “Yeni Ekonomi Programı” (YEP) revize edilerek kamuoyuyla paylaşılmıştır.</w:t>
      </w:r>
      <w:r w:rsidR="00123A2E">
        <w:rPr>
          <w:rFonts w:cstheme="minorHAnsi"/>
          <w:color w:val="000000" w:themeColor="text1"/>
        </w:rPr>
        <w:t xml:space="preserve"> Hazine ve Maliye Bakanı Berat </w:t>
      </w:r>
      <w:proofErr w:type="spellStart"/>
      <w:r w:rsidR="00123A2E">
        <w:rPr>
          <w:rFonts w:cstheme="minorHAnsi"/>
          <w:color w:val="000000" w:themeColor="text1"/>
        </w:rPr>
        <w:t>Albayrak</w:t>
      </w:r>
      <w:proofErr w:type="spellEnd"/>
      <w:r w:rsidR="00123A2E">
        <w:rPr>
          <w:rFonts w:cstheme="minorHAnsi"/>
          <w:color w:val="000000" w:themeColor="text1"/>
        </w:rPr>
        <w:t xml:space="preserve"> tarafından</w:t>
      </w:r>
      <w:r>
        <w:rPr>
          <w:rFonts w:cstheme="minorHAnsi"/>
          <w:color w:val="000000" w:themeColor="text1"/>
        </w:rPr>
        <w:t xml:space="preserve"> 30 Eylül 2019</w:t>
      </w:r>
      <w:r w:rsidR="00123A2E">
        <w:rPr>
          <w:rFonts w:cstheme="minorHAnsi"/>
          <w:color w:val="000000" w:themeColor="text1"/>
        </w:rPr>
        <w:t xml:space="preserve"> </w:t>
      </w:r>
      <w:r>
        <w:rPr>
          <w:rFonts w:cstheme="minorHAnsi"/>
          <w:color w:val="000000" w:themeColor="text1"/>
        </w:rPr>
        <w:t xml:space="preserve">tarihinde </w:t>
      </w:r>
      <w:r w:rsidR="00123A2E">
        <w:rPr>
          <w:rFonts w:cstheme="minorHAnsi"/>
          <w:color w:val="000000" w:themeColor="text1"/>
        </w:rPr>
        <w:t xml:space="preserve">açıklanan </w:t>
      </w:r>
      <w:r w:rsidR="0010641B">
        <w:rPr>
          <w:rFonts w:cstheme="minorHAnsi"/>
          <w:color w:val="000000" w:themeColor="text1"/>
        </w:rPr>
        <w:t xml:space="preserve">ve </w:t>
      </w:r>
      <w:r w:rsidR="00123A2E">
        <w:rPr>
          <w:rFonts w:cstheme="minorHAnsi"/>
          <w:color w:val="000000" w:themeColor="text1"/>
        </w:rPr>
        <w:t>2020 - 2022 dönemin</w:t>
      </w:r>
      <w:r w:rsidR="0010641B">
        <w:rPr>
          <w:rFonts w:cstheme="minorHAnsi"/>
          <w:color w:val="000000" w:themeColor="text1"/>
        </w:rPr>
        <w:t>i kapsayan Yeni YEP</w:t>
      </w:r>
      <w:r>
        <w:rPr>
          <w:rFonts w:cstheme="minorHAnsi"/>
          <w:color w:val="000000" w:themeColor="text1"/>
        </w:rPr>
        <w:t xml:space="preserve"> </w:t>
      </w:r>
      <w:r w:rsidR="00123A2E">
        <w:rPr>
          <w:rFonts w:cstheme="minorHAnsi"/>
          <w:color w:val="000000" w:themeColor="text1"/>
        </w:rPr>
        <w:t>ile önceki</w:t>
      </w:r>
      <w:r>
        <w:rPr>
          <w:rFonts w:cstheme="minorHAnsi"/>
          <w:color w:val="000000" w:themeColor="text1"/>
        </w:rPr>
        <w:t xml:space="preserve"> </w:t>
      </w:r>
      <w:proofErr w:type="gramStart"/>
      <w:r>
        <w:rPr>
          <w:rFonts w:cstheme="minorHAnsi"/>
          <w:color w:val="000000" w:themeColor="text1"/>
        </w:rPr>
        <w:t>projeksiyonlara</w:t>
      </w:r>
      <w:proofErr w:type="gramEnd"/>
      <w:r w:rsidR="00123A2E">
        <w:rPr>
          <w:rFonts w:cstheme="minorHAnsi"/>
          <w:color w:val="000000" w:themeColor="text1"/>
        </w:rPr>
        <w:t xml:space="preserve"> kıyasla </w:t>
      </w:r>
      <w:r w:rsidR="00B543B6">
        <w:rPr>
          <w:rFonts w:cstheme="minorHAnsi"/>
          <w:color w:val="000000" w:themeColor="text1"/>
        </w:rPr>
        <w:t xml:space="preserve">enflasyon ve cari açıkta </w:t>
      </w:r>
      <w:r w:rsidR="00DC61D8">
        <w:rPr>
          <w:rFonts w:cstheme="minorHAnsi"/>
          <w:color w:val="000000" w:themeColor="text1"/>
        </w:rPr>
        <w:t xml:space="preserve">daha </w:t>
      </w:r>
      <w:r w:rsidR="00B543B6">
        <w:rPr>
          <w:rFonts w:cstheme="minorHAnsi"/>
          <w:color w:val="000000" w:themeColor="text1"/>
        </w:rPr>
        <w:t>olumlu, bütçe ve büyüme oranlarında daha zayıf bir tablo çiz</w:t>
      </w:r>
      <w:r w:rsidR="00123A2E">
        <w:rPr>
          <w:rFonts w:cstheme="minorHAnsi"/>
          <w:color w:val="000000" w:themeColor="text1"/>
        </w:rPr>
        <w:t>il</w:t>
      </w:r>
      <w:r w:rsidR="00B543B6">
        <w:rPr>
          <w:rFonts w:cstheme="minorHAnsi"/>
          <w:color w:val="000000" w:themeColor="text1"/>
        </w:rPr>
        <w:t xml:space="preserve">miştir. </w:t>
      </w:r>
      <w:r w:rsidR="004F343C">
        <w:rPr>
          <w:rFonts w:cstheme="minorHAnsi"/>
          <w:color w:val="000000" w:themeColor="text1"/>
        </w:rPr>
        <w:t xml:space="preserve">Bu doğrultuda </w:t>
      </w:r>
      <w:r w:rsidR="00123A2E">
        <w:rPr>
          <w:rFonts w:cstheme="minorHAnsi"/>
          <w:color w:val="000000" w:themeColor="text1"/>
        </w:rPr>
        <w:t xml:space="preserve">Türkiye ekonomisinde </w:t>
      </w:r>
      <w:r w:rsidR="00B543B6">
        <w:rPr>
          <w:rFonts w:cstheme="minorHAnsi"/>
          <w:color w:val="000000" w:themeColor="text1"/>
        </w:rPr>
        <w:t>2019 yılı öngörüleri olarak; büyüme oranı</w:t>
      </w:r>
      <w:r w:rsidR="00132110">
        <w:rPr>
          <w:rFonts w:cstheme="minorHAnsi"/>
          <w:color w:val="000000" w:themeColor="text1"/>
        </w:rPr>
        <w:t xml:space="preserve"> %2,3</w:t>
      </w:r>
      <w:r w:rsidR="00123A2E">
        <w:rPr>
          <w:rFonts w:cstheme="minorHAnsi"/>
          <w:color w:val="000000" w:themeColor="text1"/>
        </w:rPr>
        <w:t>’den</w:t>
      </w:r>
      <w:r w:rsidR="00132110">
        <w:rPr>
          <w:rFonts w:cstheme="minorHAnsi"/>
          <w:color w:val="000000" w:themeColor="text1"/>
        </w:rPr>
        <w:t xml:space="preserve"> %0,5’e</w:t>
      </w:r>
      <w:r w:rsidR="00B543B6">
        <w:rPr>
          <w:rFonts w:cstheme="minorHAnsi"/>
          <w:color w:val="000000" w:themeColor="text1"/>
        </w:rPr>
        <w:t xml:space="preserve">, enflasyon </w:t>
      </w:r>
      <w:r w:rsidR="00123A2E">
        <w:rPr>
          <w:rFonts w:cstheme="minorHAnsi"/>
          <w:color w:val="000000" w:themeColor="text1"/>
        </w:rPr>
        <w:t xml:space="preserve">oranı </w:t>
      </w:r>
      <w:r w:rsidR="00B543B6">
        <w:rPr>
          <w:rFonts w:cstheme="minorHAnsi"/>
          <w:color w:val="000000" w:themeColor="text1"/>
        </w:rPr>
        <w:t>%15,9’dan %12’ye, cari açık</w:t>
      </w:r>
      <w:r w:rsidR="00123A2E">
        <w:rPr>
          <w:rFonts w:cstheme="minorHAnsi"/>
          <w:color w:val="000000" w:themeColor="text1"/>
        </w:rPr>
        <w:t xml:space="preserve"> oranı</w:t>
      </w:r>
      <w:r w:rsidR="00B543B6">
        <w:rPr>
          <w:rFonts w:cstheme="minorHAnsi"/>
          <w:color w:val="000000" w:themeColor="text1"/>
        </w:rPr>
        <w:t xml:space="preserve"> </w:t>
      </w:r>
      <w:r w:rsidR="00995FD8">
        <w:rPr>
          <w:rFonts w:cstheme="minorHAnsi"/>
          <w:color w:val="000000" w:themeColor="text1"/>
        </w:rPr>
        <w:t>-</w:t>
      </w:r>
      <w:r w:rsidR="00B543B6">
        <w:rPr>
          <w:rFonts w:cstheme="minorHAnsi"/>
          <w:color w:val="000000" w:themeColor="text1"/>
        </w:rPr>
        <w:t>%3,3</w:t>
      </w:r>
      <w:r w:rsidR="00123A2E">
        <w:rPr>
          <w:rFonts w:cstheme="minorHAnsi"/>
          <w:color w:val="000000" w:themeColor="text1"/>
        </w:rPr>
        <w:t xml:space="preserve">’ten </w:t>
      </w:r>
      <w:r w:rsidR="00421456">
        <w:rPr>
          <w:rFonts w:cstheme="minorHAnsi"/>
          <w:color w:val="000000" w:themeColor="text1"/>
        </w:rPr>
        <w:t xml:space="preserve">%0,1’e, bütçe açığı </w:t>
      </w:r>
      <w:r w:rsidR="00123A2E">
        <w:rPr>
          <w:rFonts w:cstheme="minorHAnsi"/>
          <w:color w:val="000000" w:themeColor="text1"/>
        </w:rPr>
        <w:t>oranı da</w:t>
      </w:r>
      <w:r w:rsidR="00421456">
        <w:rPr>
          <w:rFonts w:cstheme="minorHAnsi"/>
          <w:color w:val="000000" w:themeColor="text1"/>
        </w:rPr>
        <w:t xml:space="preserve"> </w:t>
      </w:r>
      <w:r w:rsidR="00995FD8">
        <w:rPr>
          <w:rFonts w:cstheme="minorHAnsi"/>
          <w:color w:val="000000" w:themeColor="text1"/>
        </w:rPr>
        <w:t>-</w:t>
      </w:r>
      <w:r w:rsidR="00421456">
        <w:rPr>
          <w:rFonts w:cstheme="minorHAnsi"/>
          <w:color w:val="000000" w:themeColor="text1"/>
        </w:rPr>
        <w:t xml:space="preserve">%1,8’den </w:t>
      </w:r>
      <w:r w:rsidR="00995FD8">
        <w:rPr>
          <w:rFonts w:cstheme="minorHAnsi"/>
          <w:color w:val="000000" w:themeColor="text1"/>
        </w:rPr>
        <w:t>-</w:t>
      </w:r>
      <w:r w:rsidR="00B543B6">
        <w:rPr>
          <w:rFonts w:cstheme="minorHAnsi"/>
          <w:color w:val="000000" w:themeColor="text1"/>
        </w:rPr>
        <w:t xml:space="preserve">%2,9’a çekilmiştir. </w:t>
      </w:r>
    </w:p>
    <w:p w:rsidR="00A22099" w:rsidRDefault="00A22099" w:rsidP="00C26E74">
      <w:pPr>
        <w:autoSpaceDE w:val="0"/>
        <w:autoSpaceDN w:val="0"/>
        <w:adjustRightInd w:val="0"/>
        <w:spacing w:after="0" w:line="240" w:lineRule="auto"/>
        <w:jc w:val="both"/>
        <w:rPr>
          <w:rFonts w:cstheme="minorHAnsi"/>
          <w:color w:val="000000" w:themeColor="text1"/>
        </w:rPr>
      </w:pPr>
    </w:p>
    <w:p w:rsidR="00527CA3" w:rsidRDefault="00123A2E" w:rsidP="00527CA3">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Yeni </w:t>
      </w:r>
      <w:proofErr w:type="spellStart"/>
      <w:r>
        <w:rPr>
          <w:rFonts w:cstheme="minorHAnsi"/>
          <w:color w:val="000000" w:themeColor="text1"/>
        </w:rPr>
        <w:t>YEP’in</w:t>
      </w:r>
      <w:proofErr w:type="spellEnd"/>
      <w:r>
        <w:rPr>
          <w:rFonts w:cstheme="minorHAnsi"/>
          <w:color w:val="000000" w:themeColor="text1"/>
        </w:rPr>
        <w:t xml:space="preserve"> </w:t>
      </w:r>
      <w:r w:rsidR="00E641E6">
        <w:rPr>
          <w:rFonts w:cstheme="minorHAnsi"/>
          <w:color w:val="000000" w:themeColor="text1"/>
        </w:rPr>
        <w:t xml:space="preserve">2019 </w:t>
      </w:r>
      <w:r>
        <w:rPr>
          <w:rFonts w:cstheme="minorHAnsi"/>
          <w:color w:val="000000" w:themeColor="text1"/>
        </w:rPr>
        <w:t xml:space="preserve">yılsonu </w:t>
      </w:r>
      <w:r w:rsidR="00E641E6">
        <w:rPr>
          <w:rFonts w:cstheme="minorHAnsi"/>
          <w:color w:val="000000" w:themeColor="text1"/>
        </w:rPr>
        <w:t>hedefleri ekonomistler</w:t>
      </w:r>
      <w:r w:rsidR="00E80102">
        <w:rPr>
          <w:rFonts w:cstheme="minorHAnsi"/>
          <w:color w:val="000000" w:themeColor="text1"/>
        </w:rPr>
        <w:t xml:space="preserve"> tarafından </w:t>
      </w:r>
      <w:r>
        <w:rPr>
          <w:rFonts w:cstheme="minorHAnsi"/>
          <w:color w:val="000000" w:themeColor="text1"/>
        </w:rPr>
        <w:t>daha tutarlı</w:t>
      </w:r>
      <w:r w:rsidR="00E80102">
        <w:rPr>
          <w:rFonts w:cstheme="minorHAnsi"/>
          <w:color w:val="000000" w:themeColor="text1"/>
        </w:rPr>
        <w:t xml:space="preserve"> bulun</w:t>
      </w:r>
      <w:r>
        <w:rPr>
          <w:rFonts w:cstheme="minorHAnsi"/>
          <w:color w:val="000000" w:themeColor="text1"/>
        </w:rPr>
        <w:t>muş, programın</w:t>
      </w:r>
      <w:r w:rsidR="00E641E6">
        <w:rPr>
          <w:rFonts w:cstheme="minorHAnsi"/>
          <w:color w:val="000000" w:themeColor="text1"/>
        </w:rPr>
        <w:t xml:space="preserve"> </w:t>
      </w:r>
      <w:r w:rsidR="00421456">
        <w:rPr>
          <w:rFonts w:cstheme="minorHAnsi"/>
          <w:color w:val="000000" w:themeColor="text1"/>
        </w:rPr>
        <w:t>2020</w:t>
      </w:r>
      <w:r w:rsidR="0010641B">
        <w:rPr>
          <w:rFonts w:cstheme="minorHAnsi"/>
          <w:color w:val="000000" w:themeColor="text1"/>
        </w:rPr>
        <w:t xml:space="preserve"> </w:t>
      </w:r>
      <w:r w:rsidR="00421456">
        <w:rPr>
          <w:rFonts w:cstheme="minorHAnsi"/>
          <w:color w:val="000000" w:themeColor="text1"/>
        </w:rPr>
        <w:t xml:space="preserve">-2022 döneminde </w:t>
      </w:r>
      <w:r w:rsidR="00527CA3">
        <w:rPr>
          <w:rFonts w:cstheme="minorHAnsi"/>
          <w:color w:val="000000" w:themeColor="text1"/>
        </w:rPr>
        <w:t xml:space="preserve">ortaya koyduğu </w:t>
      </w:r>
      <w:r w:rsidR="00094F94">
        <w:rPr>
          <w:rFonts w:cstheme="minorHAnsi"/>
          <w:color w:val="000000" w:themeColor="text1"/>
        </w:rPr>
        <w:t>büyüme</w:t>
      </w:r>
      <w:r w:rsidR="00421456">
        <w:rPr>
          <w:rFonts w:cstheme="minorHAnsi"/>
          <w:color w:val="000000" w:themeColor="text1"/>
        </w:rPr>
        <w:t xml:space="preserve"> </w:t>
      </w:r>
      <w:r w:rsidR="00527CA3">
        <w:rPr>
          <w:rFonts w:cstheme="minorHAnsi"/>
          <w:color w:val="000000" w:themeColor="text1"/>
        </w:rPr>
        <w:t>(%5) ve cari açık (</w:t>
      </w:r>
      <w:r w:rsidR="00995FD8">
        <w:rPr>
          <w:rFonts w:cstheme="minorHAnsi"/>
          <w:color w:val="000000" w:themeColor="text1"/>
        </w:rPr>
        <w:t>-</w:t>
      </w:r>
      <w:r w:rsidR="00E80102">
        <w:rPr>
          <w:rFonts w:cstheme="minorHAnsi"/>
          <w:color w:val="000000" w:themeColor="text1"/>
        </w:rPr>
        <w:t>%1,2</w:t>
      </w:r>
      <w:r w:rsidR="00995FD8">
        <w:rPr>
          <w:rFonts w:cstheme="minorHAnsi"/>
          <w:color w:val="000000" w:themeColor="text1"/>
        </w:rPr>
        <w:t xml:space="preserve"> ile </w:t>
      </w:r>
      <w:r w:rsidR="00E80102">
        <w:rPr>
          <w:rFonts w:cstheme="minorHAnsi"/>
          <w:color w:val="000000" w:themeColor="text1"/>
        </w:rPr>
        <w:t xml:space="preserve">0 </w:t>
      </w:r>
      <w:proofErr w:type="gramStart"/>
      <w:r w:rsidR="00E80102">
        <w:rPr>
          <w:rFonts w:cstheme="minorHAnsi"/>
          <w:color w:val="000000" w:themeColor="text1"/>
        </w:rPr>
        <w:t>aralığında</w:t>
      </w:r>
      <w:r w:rsidR="00527CA3">
        <w:rPr>
          <w:rFonts w:cstheme="minorHAnsi"/>
          <w:color w:val="000000" w:themeColor="text1"/>
        </w:rPr>
        <w:t>ki</w:t>
      </w:r>
      <w:proofErr w:type="gramEnd"/>
      <w:r w:rsidR="00527CA3">
        <w:rPr>
          <w:rFonts w:cstheme="minorHAnsi"/>
          <w:color w:val="000000" w:themeColor="text1"/>
        </w:rPr>
        <w:t>) öngörüleri ise</w:t>
      </w:r>
      <w:r w:rsidR="00E80102">
        <w:rPr>
          <w:rFonts w:cstheme="minorHAnsi"/>
          <w:color w:val="000000" w:themeColor="text1"/>
        </w:rPr>
        <w:t xml:space="preserve"> </w:t>
      </w:r>
      <w:proofErr w:type="spellStart"/>
      <w:r w:rsidR="00527CA3">
        <w:rPr>
          <w:rFonts w:cstheme="minorHAnsi"/>
          <w:color w:val="000000" w:themeColor="text1"/>
        </w:rPr>
        <w:t>birarada</w:t>
      </w:r>
      <w:proofErr w:type="spellEnd"/>
      <w:r w:rsidR="00527CA3">
        <w:rPr>
          <w:rFonts w:cstheme="minorHAnsi"/>
          <w:color w:val="000000" w:themeColor="text1"/>
        </w:rPr>
        <w:t xml:space="preserve"> sürdürülmesi güç hedefler olarak yorumlanmıştır. K</w:t>
      </w:r>
      <w:r w:rsidR="00E641E6">
        <w:rPr>
          <w:rFonts w:cstheme="minorHAnsi"/>
          <w:color w:val="000000" w:themeColor="text1"/>
        </w:rPr>
        <w:t>ırılganlıkların potansiyel büyüme</w:t>
      </w:r>
      <w:r w:rsidR="00C26E74">
        <w:rPr>
          <w:rFonts w:cstheme="minorHAnsi"/>
          <w:color w:val="000000" w:themeColor="text1"/>
        </w:rPr>
        <w:t>yi</w:t>
      </w:r>
      <w:r w:rsidR="00E641E6">
        <w:rPr>
          <w:rFonts w:cstheme="minorHAnsi"/>
          <w:color w:val="000000" w:themeColor="text1"/>
        </w:rPr>
        <w:t xml:space="preserve"> oldukça geriye çektiği Türkiye ekonomisi için </w:t>
      </w:r>
      <w:r w:rsidR="00527CA3">
        <w:rPr>
          <w:rFonts w:cstheme="minorHAnsi"/>
          <w:color w:val="000000" w:themeColor="text1"/>
        </w:rPr>
        <w:t xml:space="preserve">yeni büyüme hedefi, üstelik de sınırlı cari açık ve enflasyonla mücadele adımları çerçevesinde oldukça </w:t>
      </w:r>
      <w:r w:rsidR="00E80102">
        <w:rPr>
          <w:rFonts w:cstheme="minorHAnsi"/>
          <w:color w:val="000000" w:themeColor="text1"/>
        </w:rPr>
        <w:t>zorlu</w:t>
      </w:r>
      <w:r w:rsidR="00527CA3">
        <w:rPr>
          <w:rFonts w:cstheme="minorHAnsi"/>
          <w:color w:val="000000" w:themeColor="text1"/>
        </w:rPr>
        <w:t xml:space="preserve"> gözükmektedir.</w:t>
      </w:r>
      <w:r w:rsidR="00527CA3" w:rsidRPr="00527CA3">
        <w:rPr>
          <w:rFonts w:cstheme="minorHAnsi"/>
          <w:color w:val="000000" w:themeColor="text1"/>
        </w:rPr>
        <w:t xml:space="preserve"> </w:t>
      </w:r>
      <w:r w:rsidR="0010641B">
        <w:rPr>
          <w:rFonts w:cstheme="minorHAnsi"/>
          <w:color w:val="000000" w:themeColor="text1"/>
        </w:rPr>
        <w:t>Ayrıca çalışmada, i</w:t>
      </w:r>
      <w:r w:rsidR="00527CA3">
        <w:rPr>
          <w:rFonts w:cstheme="minorHAnsi"/>
          <w:color w:val="000000" w:themeColor="text1"/>
        </w:rPr>
        <w:t>şsizlik konusunda</w:t>
      </w:r>
      <w:r w:rsidR="0010641B">
        <w:rPr>
          <w:rFonts w:cstheme="minorHAnsi"/>
          <w:color w:val="000000" w:themeColor="text1"/>
        </w:rPr>
        <w:t>ki</w:t>
      </w:r>
      <w:r w:rsidR="00527CA3">
        <w:rPr>
          <w:rFonts w:cstheme="minorHAnsi"/>
          <w:color w:val="000000" w:themeColor="text1"/>
        </w:rPr>
        <w:t xml:space="preserve"> 2022 yılı için konan %9,8’lik tek haneli hedef iddialı bulunmuştur.</w:t>
      </w:r>
    </w:p>
    <w:p w:rsidR="00527CA3" w:rsidRDefault="00527CA3" w:rsidP="00527CA3">
      <w:pPr>
        <w:autoSpaceDE w:val="0"/>
        <w:autoSpaceDN w:val="0"/>
        <w:adjustRightInd w:val="0"/>
        <w:spacing w:after="0" w:line="240" w:lineRule="auto"/>
        <w:jc w:val="both"/>
        <w:rPr>
          <w:rFonts w:cstheme="minorHAnsi"/>
          <w:color w:val="000000" w:themeColor="text1"/>
        </w:rPr>
      </w:pPr>
    </w:p>
    <w:p w:rsidR="00CD3E59" w:rsidRDefault="00527CA3" w:rsidP="00DD10A2">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Ağırlıkla geçen yılın yüksek oranlarından doğan </w:t>
      </w:r>
      <w:r w:rsidR="002A15E8">
        <w:rPr>
          <w:rFonts w:cstheme="minorHAnsi"/>
          <w:color w:val="000000" w:themeColor="text1"/>
        </w:rPr>
        <w:t>baz etkisiyle bu yılın Eylül</w:t>
      </w:r>
      <w:r w:rsidR="006F7AAE">
        <w:rPr>
          <w:rFonts w:cstheme="minorHAnsi"/>
          <w:color w:val="000000" w:themeColor="text1"/>
        </w:rPr>
        <w:t xml:space="preserve"> </w:t>
      </w:r>
      <w:r w:rsidR="0010641B">
        <w:rPr>
          <w:rFonts w:cstheme="minorHAnsi"/>
          <w:color w:val="000000" w:themeColor="text1"/>
        </w:rPr>
        <w:t xml:space="preserve">ayında tek haneye gerileyen ve yılsonunda %12 olması beklenen </w:t>
      </w:r>
      <w:r w:rsidR="002A15E8">
        <w:rPr>
          <w:rFonts w:cstheme="minorHAnsi"/>
          <w:color w:val="000000" w:themeColor="text1"/>
        </w:rPr>
        <w:t>enflasyon</w:t>
      </w:r>
      <w:r>
        <w:rPr>
          <w:rFonts w:cstheme="minorHAnsi"/>
          <w:color w:val="000000" w:themeColor="text1"/>
        </w:rPr>
        <w:t>,</w:t>
      </w:r>
      <w:r w:rsidR="0010641B">
        <w:rPr>
          <w:rFonts w:cstheme="minorHAnsi"/>
          <w:color w:val="000000" w:themeColor="text1"/>
        </w:rPr>
        <w:t xml:space="preserve"> </w:t>
      </w:r>
      <w:r w:rsidR="002A15E8">
        <w:rPr>
          <w:rFonts w:cstheme="minorHAnsi"/>
          <w:color w:val="000000" w:themeColor="text1"/>
        </w:rPr>
        <w:t>ekonomi yönetiminin orta</w:t>
      </w:r>
      <w:r w:rsidR="00E80102">
        <w:rPr>
          <w:rFonts w:cstheme="minorHAnsi"/>
          <w:color w:val="000000" w:themeColor="text1"/>
        </w:rPr>
        <w:t xml:space="preserve"> </w:t>
      </w:r>
      <w:r>
        <w:rPr>
          <w:rFonts w:cstheme="minorHAnsi"/>
          <w:color w:val="000000" w:themeColor="text1"/>
        </w:rPr>
        <w:t>ve</w:t>
      </w:r>
      <w:r w:rsidR="00E80102">
        <w:rPr>
          <w:rFonts w:cstheme="minorHAnsi"/>
          <w:color w:val="000000" w:themeColor="text1"/>
        </w:rPr>
        <w:t xml:space="preserve"> </w:t>
      </w:r>
      <w:r w:rsidR="002A15E8">
        <w:rPr>
          <w:rFonts w:cstheme="minorHAnsi"/>
          <w:color w:val="000000" w:themeColor="text1"/>
        </w:rPr>
        <w:t>uzun vadeli hedefi olan %6’dan</w:t>
      </w:r>
      <w:r w:rsidR="0010641B">
        <w:rPr>
          <w:rFonts w:cstheme="minorHAnsi"/>
          <w:color w:val="000000" w:themeColor="text1"/>
        </w:rPr>
        <w:t xml:space="preserve"> </w:t>
      </w:r>
      <w:proofErr w:type="gramStart"/>
      <w:r w:rsidR="0010641B">
        <w:rPr>
          <w:rFonts w:cstheme="minorHAnsi"/>
          <w:color w:val="000000" w:themeColor="text1"/>
        </w:rPr>
        <w:t xml:space="preserve">halen </w:t>
      </w:r>
      <w:r w:rsidR="002A15E8">
        <w:rPr>
          <w:rFonts w:cstheme="minorHAnsi"/>
          <w:color w:val="000000" w:themeColor="text1"/>
        </w:rPr>
        <w:t xml:space="preserve"> </w:t>
      </w:r>
      <w:r>
        <w:rPr>
          <w:rFonts w:cstheme="minorHAnsi"/>
          <w:color w:val="000000" w:themeColor="text1"/>
        </w:rPr>
        <w:t>oldukça</w:t>
      </w:r>
      <w:proofErr w:type="gramEnd"/>
      <w:r>
        <w:rPr>
          <w:rFonts w:cstheme="minorHAnsi"/>
          <w:color w:val="000000" w:themeColor="text1"/>
        </w:rPr>
        <w:t xml:space="preserve"> uzaktadır.</w:t>
      </w:r>
      <w:r w:rsidR="00467008">
        <w:rPr>
          <w:rFonts w:cstheme="minorHAnsi"/>
          <w:color w:val="000000" w:themeColor="text1"/>
        </w:rPr>
        <w:t xml:space="preserve"> Buna e</w:t>
      </w:r>
      <w:r>
        <w:rPr>
          <w:rFonts w:cstheme="minorHAnsi"/>
          <w:color w:val="000000" w:themeColor="text1"/>
        </w:rPr>
        <w:t>k olarak</w:t>
      </w:r>
      <w:r w:rsidR="00467008">
        <w:rPr>
          <w:rFonts w:cstheme="minorHAnsi"/>
          <w:color w:val="000000" w:themeColor="text1"/>
        </w:rPr>
        <w:t>,</w:t>
      </w:r>
      <w:r w:rsidRPr="00527CA3">
        <w:rPr>
          <w:rFonts w:cstheme="minorHAnsi"/>
          <w:color w:val="000000" w:themeColor="text1"/>
        </w:rPr>
        <w:t xml:space="preserve"> </w:t>
      </w:r>
      <w:r w:rsidR="00467008" w:rsidRPr="00467008">
        <w:rPr>
          <w:rFonts w:cstheme="minorHAnsi"/>
          <w:color w:val="000000" w:themeColor="text1"/>
        </w:rPr>
        <w:t xml:space="preserve">Türkiye açısından en önemli </w:t>
      </w:r>
      <w:r w:rsidR="00467008">
        <w:rPr>
          <w:rFonts w:cstheme="minorHAnsi"/>
          <w:color w:val="000000" w:themeColor="text1"/>
        </w:rPr>
        <w:t xml:space="preserve">pozitif </w:t>
      </w:r>
      <w:r w:rsidR="00467008" w:rsidRPr="00467008">
        <w:rPr>
          <w:rFonts w:cstheme="minorHAnsi"/>
          <w:color w:val="000000" w:themeColor="text1"/>
        </w:rPr>
        <w:t>gösterge</w:t>
      </w:r>
      <w:r w:rsidR="00467008">
        <w:rPr>
          <w:rFonts w:cstheme="minorHAnsi"/>
          <w:color w:val="000000" w:themeColor="text1"/>
        </w:rPr>
        <w:t xml:space="preserve">lerden olan </w:t>
      </w:r>
      <w:r w:rsidR="00467008" w:rsidRPr="00467008">
        <w:rPr>
          <w:rFonts w:cstheme="minorHAnsi"/>
          <w:color w:val="000000" w:themeColor="text1"/>
        </w:rPr>
        <w:t xml:space="preserve">düşük kamu borç yüküne karşılık </w:t>
      </w:r>
      <w:r w:rsidR="00467008">
        <w:rPr>
          <w:rFonts w:cstheme="minorHAnsi"/>
          <w:color w:val="000000" w:themeColor="text1"/>
        </w:rPr>
        <w:t xml:space="preserve">bütçe açığındaki hızlı </w:t>
      </w:r>
      <w:r w:rsidR="00D66302">
        <w:rPr>
          <w:rFonts w:cstheme="minorHAnsi"/>
          <w:color w:val="000000" w:themeColor="text1"/>
        </w:rPr>
        <w:t>yükseliş</w:t>
      </w:r>
      <w:r w:rsidR="00467008">
        <w:rPr>
          <w:rFonts w:cstheme="minorHAnsi"/>
          <w:color w:val="000000" w:themeColor="text1"/>
        </w:rPr>
        <w:t xml:space="preserve"> endişe yaratmaktadır. </w:t>
      </w:r>
      <w:r w:rsidR="00467008" w:rsidRPr="00467008">
        <w:rPr>
          <w:rFonts w:cstheme="minorHAnsi"/>
          <w:color w:val="000000" w:themeColor="text1"/>
        </w:rPr>
        <w:t xml:space="preserve"> </w:t>
      </w:r>
      <w:r w:rsidR="0010641B">
        <w:rPr>
          <w:rFonts w:cstheme="minorHAnsi"/>
          <w:color w:val="000000" w:themeColor="text1"/>
        </w:rPr>
        <w:t xml:space="preserve">Geçen yıl açıklanan </w:t>
      </w:r>
      <w:proofErr w:type="spellStart"/>
      <w:r>
        <w:rPr>
          <w:rFonts w:cstheme="minorHAnsi"/>
          <w:color w:val="000000" w:themeColor="text1"/>
        </w:rPr>
        <w:t>YEP’te</w:t>
      </w:r>
      <w:proofErr w:type="spellEnd"/>
      <w:r>
        <w:rPr>
          <w:rFonts w:cstheme="minorHAnsi"/>
          <w:color w:val="000000" w:themeColor="text1"/>
        </w:rPr>
        <w:t xml:space="preserve">, </w:t>
      </w:r>
      <w:r w:rsidR="00DD10A2">
        <w:rPr>
          <w:rFonts w:cstheme="minorHAnsi"/>
          <w:color w:val="000000" w:themeColor="text1"/>
        </w:rPr>
        <w:t xml:space="preserve">2018 yılında 72,8 milyar TL olan bütçe açığı </w:t>
      </w:r>
      <w:r>
        <w:rPr>
          <w:rFonts w:cstheme="minorHAnsi"/>
          <w:color w:val="000000" w:themeColor="text1"/>
        </w:rPr>
        <w:t xml:space="preserve">konusunda </w:t>
      </w:r>
      <w:r w:rsidR="00DD10A2">
        <w:rPr>
          <w:rFonts w:cstheme="minorHAnsi"/>
          <w:color w:val="000000" w:themeColor="text1"/>
        </w:rPr>
        <w:t xml:space="preserve">bu yıl için </w:t>
      </w:r>
      <w:r w:rsidR="00DD10A2" w:rsidRPr="00B543B6">
        <w:rPr>
          <w:rFonts w:cstheme="minorHAnsi"/>
          <w:color w:val="000000" w:themeColor="text1"/>
        </w:rPr>
        <w:t>80,6 milyar TL</w:t>
      </w:r>
      <w:r>
        <w:rPr>
          <w:rFonts w:cstheme="minorHAnsi"/>
          <w:color w:val="000000" w:themeColor="text1"/>
        </w:rPr>
        <w:t>’</w:t>
      </w:r>
      <w:r w:rsidR="00427003">
        <w:rPr>
          <w:rFonts w:cstheme="minorHAnsi"/>
          <w:color w:val="000000" w:themeColor="text1"/>
        </w:rPr>
        <w:t>lik</w:t>
      </w:r>
      <w:r w:rsidR="00DD10A2" w:rsidRPr="00B543B6">
        <w:rPr>
          <w:rFonts w:cstheme="minorHAnsi"/>
          <w:color w:val="000000" w:themeColor="text1"/>
        </w:rPr>
        <w:t xml:space="preserve"> </w:t>
      </w:r>
      <w:r w:rsidR="00DD10A2">
        <w:rPr>
          <w:rFonts w:cstheme="minorHAnsi"/>
          <w:color w:val="000000" w:themeColor="text1"/>
        </w:rPr>
        <w:t>tahmin ortaya ko</w:t>
      </w:r>
      <w:r>
        <w:rPr>
          <w:rFonts w:cstheme="minorHAnsi"/>
          <w:color w:val="000000" w:themeColor="text1"/>
        </w:rPr>
        <w:t xml:space="preserve">nmuş olup, </w:t>
      </w:r>
      <w:r w:rsidR="00DD10A2">
        <w:rPr>
          <w:rFonts w:cstheme="minorHAnsi"/>
          <w:color w:val="000000" w:themeColor="text1"/>
        </w:rPr>
        <w:t>son programda</w:t>
      </w:r>
      <w:r w:rsidR="0010641B">
        <w:rPr>
          <w:rFonts w:cstheme="minorHAnsi"/>
          <w:color w:val="000000" w:themeColor="text1"/>
        </w:rPr>
        <w:t xml:space="preserve"> açığın </w:t>
      </w:r>
      <w:r w:rsidR="00DD10A2" w:rsidRPr="00B543B6">
        <w:rPr>
          <w:rFonts w:cstheme="minorHAnsi"/>
          <w:color w:val="000000" w:themeColor="text1"/>
        </w:rPr>
        <w:t>125 milyar TL’ye</w:t>
      </w:r>
      <w:r>
        <w:rPr>
          <w:rFonts w:cstheme="minorHAnsi"/>
          <w:color w:val="000000" w:themeColor="text1"/>
        </w:rPr>
        <w:t xml:space="preserve"> kadar</w:t>
      </w:r>
      <w:r w:rsidR="00DD10A2" w:rsidRPr="00B543B6">
        <w:rPr>
          <w:rFonts w:cstheme="minorHAnsi"/>
          <w:color w:val="000000" w:themeColor="text1"/>
        </w:rPr>
        <w:t xml:space="preserve"> yüksel</w:t>
      </w:r>
      <w:r>
        <w:rPr>
          <w:rFonts w:cstheme="minorHAnsi"/>
          <w:color w:val="000000" w:themeColor="text1"/>
        </w:rPr>
        <w:t xml:space="preserve">mesi dikkat çekmiştir. </w:t>
      </w:r>
    </w:p>
    <w:p w:rsidR="00CD3E59" w:rsidRDefault="00CD3E59" w:rsidP="00DD10A2">
      <w:pPr>
        <w:autoSpaceDE w:val="0"/>
        <w:autoSpaceDN w:val="0"/>
        <w:adjustRightInd w:val="0"/>
        <w:spacing w:after="0" w:line="240" w:lineRule="auto"/>
        <w:jc w:val="both"/>
        <w:rPr>
          <w:rFonts w:cstheme="minorHAnsi"/>
          <w:color w:val="000000" w:themeColor="text1"/>
        </w:rPr>
      </w:pPr>
    </w:p>
    <w:p w:rsidR="00427003" w:rsidRDefault="00CD3E59" w:rsidP="00DD10A2">
      <w:pPr>
        <w:autoSpaceDE w:val="0"/>
        <w:autoSpaceDN w:val="0"/>
        <w:adjustRightInd w:val="0"/>
        <w:spacing w:after="0" w:line="240" w:lineRule="auto"/>
        <w:jc w:val="both"/>
        <w:rPr>
          <w:rFonts w:ascii="Calibri" w:hAnsi="Calibri" w:cs="Times New Roman"/>
          <w:lang w:eastAsia="en-US"/>
        </w:rPr>
      </w:pPr>
      <w:r>
        <w:t xml:space="preserve">Türkiye’nin döviz rezervi düşük, </w:t>
      </w:r>
      <w:r w:rsidRPr="00467008">
        <w:t>özel kesim</w:t>
      </w:r>
      <w:r>
        <w:t>in</w:t>
      </w:r>
      <w:r w:rsidRPr="00467008">
        <w:t xml:space="preserve"> dış borç yükü yüksek </w:t>
      </w:r>
      <w:r>
        <w:t xml:space="preserve">seyrederken </w:t>
      </w:r>
      <w:r w:rsidRPr="00467008">
        <w:t>dış finansman ihtiyacı</w:t>
      </w:r>
      <w:r>
        <w:t>nın önemini koruduğu belirtilmektedir. Kamunun elini kuvvetlendiren düşük borç yükü bütçe açıkları ile tehlikeye girerken, IMF hesaplamalarına göre m</w:t>
      </w:r>
      <w:r w:rsidRPr="00CD3E59">
        <w:t xml:space="preserve">evcut borç yükünün bugünkü düzeyde kalabilmesi için bütçede </w:t>
      </w:r>
      <w:proofErr w:type="spellStart"/>
      <w:r w:rsidRPr="00CD3E59">
        <w:t>GSYH’nin</w:t>
      </w:r>
      <w:proofErr w:type="spellEnd"/>
      <w:r w:rsidRPr="00CD3E59">
        <w:t xml:space="preserve"> </w:t>
      </w:r>
      <w:r>
        <w:t>%</w:t>
      </w:r>
      <w:r w:rsidRPr="00CD3E59">
        <w:t>1,5’</w:t>
      </w:r>
      <w:r>
        <w:t>i</w:t>
      </w:r>
      <w:r w:rsidRPr="00CD3E59">
        <w:t xml:space="preserve"> kadar düzeltme yapılması</w:t>
      </w:r>
      <w:r>
        <w:t xml:space="preserve">na ihtiyaç duyulmaktadır. </w:t>
      </w:r>
      <w:r>
        <w:rPr>
          <w:rFonts w:cstheme="minorHAnsi"/>
          <w:color w:val="000000" w:themeColor="text1"/>
        </w:rPr>
        <w:t>B</w:t>
      </w:r>
      <w:r w:rsidR="00DD10A2">
        <w:rPr>
          <w:rFonts w:ascii="Calibri" w:hAnsi="Calibri" w:cs="Times New Roman"/>
          <w:lang w:eastAsia="en-US"/>
        </w:rPr>
        <w:t>ütçe dengesinde</w:t>
      </w:r>
      <w:r w:rsidR="00427003">
        <w:rPr>
          <w:rFonts w:ascii="Calibri" w:hAnsi="Calibri" w:cs="Times New Roman"/>
          <w:lang w:eastAsia="en-US"/>
        </w:rPr>
        <w:t xml:space="preserve"> belirgin hale gelen bozulmanın bir sonucu olarak son aylarda </w:t>
      </w:r>
      <w:r w:rsidR="00DD10A2">
        <w:rPr>
          <w:rFonts w:ascii="Calibri" w:hAnsi="Calibri" w:cs="Times New Roman"/>
          <w:lang w:eastAsia="en-US"/>
        </w:rPr>
        <w:t xml:space="preserve">enerji fiyatları başta olmak </w:t>
      </w:r>
      <w:r w:rsidR="00527CA3">
        <w:rPr>
          <w:rFonts w:ascii="Calibri" w:hAnsi="Calibri" w:cs="Times New Roman"/>
          <w:lang w:eastAsia="en-US"/>
        </w:rPr>
        <w:t>üzere</w:t>
      </w:r>
      <w:r w:rsidR="00427003">
        <w:rPr>
          <w:rFonts w:ascii="Calibri" w:hAnsi="Calibri" w:cs="Times New Roman"/>
          <w:lang w:eastAsia="en-US"/>
        </w:rPr>
        <w:t xml:space="preserve"> haneler ve işletme</w:t>
      </w:r>
      <w:r w:rsidR="00D63F0D">
        <w:rPr>
          <w:rFonts w:ascii="Calibri" w:hAnsi="Calibri" w:cs="Times New Roman"/>
          <w:lang w:eastAsia="en-US"/>
        </w:rPr>
        <w:t xml:space="preserve">ler için vergi yükleri </w:t>
      </w:r>
      <w:r w:rsidR="00427003">
        <w:rPr>
          <w:rFonts w:ascii="Calibri" w:hAnsi="Calibri" w:cs="Times New Roman"/>
          <w:lang w:eastAsia="en-US"/>
        </w:rPr>
        <w:t>artmaktadır.</w:t>
      </w:r>
    </w:p>
    <w:p w:rsidR="00CD3E59" w:rsidRDefault="0010641B" w:rsidP="00CD3E59">
      <w:pPr>
        <w:autoSpaceDE w:val="0"/>
        <w:autoSpaceDN w:val="0"/>
        <w:adjustRightInd w:val="0"/>
        <w:spacing w:after="0" w:line="240" w:lineRule="auto"/>
        <w:jc w:val="both"/>
      </w:pPr>
      <w:r>
        <w:rPr>
          <w:rFonts w:ascii="Calibri" w:hAnsi="Calibri" w:cs="Times New Roman"/>
          <w:lang w:eastAsia="en-US"/>
        </w:rPr>
        <w:lastRenderedPageBreak/>
        <w:t xml:space="preserve">Son dönemde </w:t>
      </w:r>
      <w:r>
        <w:rPr>
          <w:rFonts w:cstheme="minorHAnsi"/>
          <w:color w:val="000000" w:themeColor="text1"/>
        </w:rPr>
        <w:t>e</w:t>
      </w:r>
      <w:r w:rsidR="004C7283">
        <w:rPr>
          <w:rFonts w:ascii="Calibri" w:hAnsi="Calibri" w:cs="Times New Roman"/>
          <w:lang w:eastAsia="en-US"/>
        </w:rPr>
        <w:t>konominin canlandırılması amacıyla konut ve otomotiv alımını destekleyen kampanyalar ile BDDK kararının da aralarında bulunduğu</w:t>
      </w:r>
      <w:r w:rsidR="00427003">
        <w:rPr>
          <w:rFonts w:ascii="Calibri" w:hAnsi="Calibri" w:cs="Times New Roman"/>
          <w:lang w:eastAsia="en-US"/>
        </w:rPr>
        <w:t xml:space="preserve"> çeşitli </w:t>
      </w:r>
      <w:r w:rsidR="00703D77">
        <w:rPr>
          <w:rFonts w:ascii="Calibri" w:hAnsi="Calibri" w:cs="Times New Roman"/>
          <w:lang w:eastAsia="en-US"/>
        </w:rPr>
        <w:t>uygulamalar ortaya konduğu</w:t>
      </w:r>
      <w:r w:rsidR="00427003">
        <w:rPr>
          <w:rFonts w:ascii="Calibri" w:hAnsi="Calibri" w:cs="Times New Roman"/>
          <w:lang w:eastAsia="en-US"/>
        </w:rPr>
        <w:t xml:space="preserve"> izlenmektedir. Buna paralel olarak </w:t>
      </w:r>
      <w:r w:rsidR="00467008">
        <w:rPr>
          <w:rFonts w:ascii="Calibri" w:hAnsi="Calibri" w:cs="Times New Roman"/>
          <w:lang w:eastAsia="en-US"/>
        </w:rPr>
        <w:t xml:space="preserve">genişleyici para politikası adımları ile </w:t>
      </w:r>
      <w:r w:rsidR="006F7AAE">
        <w:rPr>
          <w:rFonts w:cstheme="minorHAnsi"/>
          <w:color w:val="000000" w:themeColor="text1"/>
        </w:rPr>
        <w:t>T.C. Merkez Bankas</w:t>
      </w:r>
      <w:r w:rsidR="00DF0524">
        <w:rPr>
          <w:rFonts w:cstheme="minorHAnsi"/>
          <w:color w:val="000000" w:themeColor="text1"/>
        </w:rPr>
        <w:t>ı</w:t>
      </w:r>
      <w:r w:rsidR="00427003">
        <w:rPr>
          <w:rFonts w:cstheme="minorHAnsi"/>
          <w:color w:val="000000" w:themeColor="text1"/>
        </w:rPr>
        <w:t xml:space="preserve"> </w:t>
      </w:r>
      <w:r w:rsidR="006F7AAE">
        <w:rPr>
          <w:rFonts w:cstheme="minorHAnsi"/>
          <w:color w:val="000000" w:themeColor="text1"/>
        </w:rPr>
        <w:t>(TCMB) Temmuz ve Eylül aylarında</w:t>
      </w:r>
      <w:r w:rsidR="00427003">
        <w:rPr>
          <w:rFonts w:cstheme="minorHAnsi"/>
          <w:color w:val="000000" w:themeColor="text1"/>
        </w:rPr>
        <w:t xml:space="preserve"> </w:t>
      </w:r>
      <w:r w:rsidR="006F7AAE">
        <w:rPr>
          <w:rFonts w:cstheme="minorHAnsi"/>
          <w:color w:val="000000" w:themeColor="text1"/>
        </w:rPr>
        <w:t>faizler</w:t>
      </w:r>
      <w:r w:rsidR="004C7283">
        <w:rPr>
          <w:rFonts w:cstheme="minorHAnsi"/>
          <w:color w:val="000000" w:themeColor="text1"/>
        </w:rPr>
        <w:t xml:space="preserve">i </w:t>
      </w:r>
      <w:r w:rsidR="006F7AAE">
        <w:rPr>
          <w:rFonts w:cstheme="minorHAnsi"/>
          <w:color w:val="000000" w:themeColor="text1"/>
        </w:rPr>
        <w:t xml:space="preserve">toplam 750 </w:t>
      </w:r>
      <w:proofErr w:type="gramStart"/>
      <w:r w:rsidR="006F7AAE">
        <w:rPr>
          <w:rFonts w:cstheme="minorHAnsi"/>
          <w:color w:val="000000" w:themeColor="text1"/>
        </w:rPr>
        <w:t>baz</w:t>
      </w:r>
      <w:proofErr w:type="gramEnd"/>
      <w:r w:rsidR="006F7AAE">
        <w:rPr>
          <w:rFonts w:cstheme="minorHAnsi"/>
          <w:color w:val="000000" w:themeColor="text1"/>
        </w:rPr>
        <w:t xml:space="preserve"> puan indir</w:t>
      </w:r>
      <w:r w:rsidR="00427003">
        <w:rPr>
          <w:rFonts w:cstheme="minorHAnsi"/>
          <w:color w:val="000000" w:themeColor="text1"/>
        </w:rPr>
        <w:t>m</w:t>
      </w:r>
      <w:r w:rsidR="00CD3E59">
        <w:rPr>
          <w:rFonts w:cstheme="minorHAnsi"/>
          <w:color w:val="000000" w:themeColor="text1"/>
        </w:rPr>
        <w:t xml:space="preserve">iştir. </w:t>
      </w:r>
      <w:r w:rsidR="00BF1664">
        <w:rPr>
          <w:rFonts w:cstheme="minorHAnsi"/>
          <w:color w:val="000000" w:themeColor="text1"/>
        </w:rPr>
        <w:t>Alınan kararlar</w:t>
      </w:r>
      <w:r w:rsidR="00427003">
        <w:rPr>
          <w:rFonts w:cstheme="minorHAnsi"/>
          <w:color w:val="000000" w:themeColor="text1"/>
        </w:rPr>
        <w:t xml:space="preserve"> piyasalar</w:t>
      </w:r>
      <w:r w:rsidR="00CD3E59">
        <w:rPr>
          <w:rFonts w:cstheme="minorHAnsi"/>
          <w:color w:val="000000" w:themeColor="text1"/>
        </w:rPr>
        <w:t xml:space="preserve">da büyük tepkiyle karşılanmamıştır. </w:t>
      </w:r>
      <w:r w:rsidR="00BF1664">
        <w:rPr>
          <w:rFonts w:cstheme="minorHAnsi"/>
          <w:color w:val="000000" w:themeColor="text1"/>
        </w:rPr>
        <w:t>Ekonomistler ise kararları faiz indiriminin boyutu nedeniyle enflasyonla mücadele ile fiyat istikrarı hedefi kapsamında tutarlı bulmamış, p</w:t>
      </w:r>
      <w:r w:rsidR="00BF1664" w:rsidRPr="00644203">
        <w:t>iyasa faizlerinin kalıcı olarak düşmesi için enflasyonla mücadele</w:t>
      </w:r>
      <w:r w:rsidR="00BF1664">
        <w:t>ye ciddiyetle devam edilmesinin</w:t>
      </w:r>
      <w:r w:rsidR="00BF1664" w:rsidRPr="00644203">
        <w:t xml:space="preserve"> büyük önem taşıdığı</w:t>
      </w:r>
      <w:r w:rsidR="00703D77">
        <w:t>nı vurgula</w:t>
      </w:r>
      <w:r w:rsidR="00BF1664">
        <w:t>mıştır.</w:t>
      </w:r>
      <w:r w:rsidR="00703D77">
        <w:t xml:space="preserve"> </w:t>
      </w:r>
      <w:r w:rsidR="00CD3E59">
        <w:t>M</w:t>
      </w:r>
      <w:r w:rsidR="00CD3E59" w:rsidRPr="00644203">
        <w:t>akroekonomik</w:t>
      </w:r>
      <w:r w:rsidR="00CD3E59" w:rsidRPr="00A41A58">
        <w:t xml:space="preserve"> kırılganlıkları ve dış borcu yüksek olan ülkelerde art arda gelen faiz indirimlerinin kuru yükseltme ve yabancı yatırımcının iştahını kaçırma etkisinden bahse</w:t>
      </w:r>
      <w:r w:rsidR="00CD3E59">
        <w:t xml:space="preserve">dilirken, </w:t>
      </w:r>
      <w:r w:rsidR="00CD3E59" w:rsidRPr="00A41A58">
        <w:t xml:space="preserve">FED ve </w:t>
      </w:r>
      <w:proofErr w:type="spellStart"/>
      <w:r w:rsidR="00CD3E59" w:rsidRPr="00A41A58">
        <w:t>ECB’nin</w:t>
      </w:r>
      <w:proofErr w:type="spellEnd"/>
      <w:r w:rsidR="00CD3E59" w:rsidRPr="00A41A58">
        <w:t xml:space="preserve"> faiz politikası çerçevesinde </w:t>
      </w:r>
      <w:r w:rsidR="00CD3E59">
        <w:t>yaşanan</w:t>
      </w:r>
      <w:r w:rsidR="00CD3E59" w:rsidRPr="00A41A58">
        <w:t xml:space="preserve"> küresel rahatlama</w:t>
      </w:r>
      <w:r w:rsidR="00CD3E59">
        <w:t xml:space="preserve">nın </w:t>
      </w:r>
      <w:r w:rsidR="00CD3E59" w:rsidRPr="00A41A58">
        <w:t>Türkiye</w:t>
      </w:r>
      <w:r w:rsidR="00CD3E59">
        <w:t xml:space="preserve"> ekonomisini</w:t>
      </w:r>
      <w:r w:rsidR="00CD3E59" w:rsidRPr="00A41A58">
        <w:t xml:space="preserve"> bu süreçte destekle</w:t>
      </w:r>
      <w:r w:rsidR="00CD3E59">
        <w:t xml:space="preserve">diği belirtilmektedir. </w:t>
      </w:r>
    </w:p>
    <w:p w:rsidR="00427003" w:rsidRDefault="00427003" w:rsidP="00E25A04">
      <w:pPr>
        <w:autoSpaceDE w:val="0"/>
        <w:autoSpaceDN w:val="0"/>
        <w:adjustRightInd w:val="0"/>
        <w:spacing w:after="0" w:line="240" w:lineRule="auto"/>
        <w:jc w:val="both"/>
      </w:pPr>
    </w:p>
    <w:p w:rsidR="00431D82" w:rsidRDefault="00703D77" w:rsidP="002E05DC">
      <w:pPr>
        <w:autoSpaceDE w:val="0"/>
        <w:autoSpaceDN w:val="0"/>
        <w:adjustRightInd w:val="0"/>
        <w:spacing w:after="0" w:line="240" w:lineRule="auto"/>
        <w:jc w:val="both"/>
      </w:pPr>
      <w:r>
        <w:t>K</w:t>
      </w:r>
      <w:r w:rsidR="002C58A6">
        <w:t xml:space="preserve">üresel </w:t>
      </w:r>
      <w:r w:rsidR="002C58A6" w:rsidRPr="004A36E3">
        <w:t>koşullar destekleyici</w:t>
      </w:r>
      <w:r>
        <w:t xml:space="preserve"> görünüm sunuyor</w:t>
      </w:r>
      <w:r w:rsidR="00DF0524">
        <w:t xml:space="preserve"> </w:t>
      </w:r>
      <w:r w:rsidR="002C58A6">
        <w:t xml:space="preserve">ve </w:t>
      </w:r>
      <w:r w:rsidR="002C58A6" w:rsidRPr="004A36E3">
        <w:t>ekonomi görece toparlanıyor</w:t>
      </w:r>
      <w:r>
        <w:t xml:space="preserve"> olsa da </w:t>
      </w:r>
      <w:r w:rsidR="002C58A6" w:rsidRPr="004A36E3">
        <w:t>yabancı yatırımcıların Türk</w:t>
      </w:r>
      <w:r w:rsidR="00DF0524">
        <w:t>iye piyasası</w:t>
      </w:r>
      <w:r w:rsidR="002C58A6" w:rsidRPr="004A36E3">
        <w:t>na girmekte çekimser kaldığı</w:t>
      </w:r>
      <w:r w:rsidR="002C58A6">
        <w:t xml:space="preserve"> görülmektedir. Keza </w:t>
      </w:r>
      <w:r w:rsidR="002C58A6" w:rsidRPr="00DC61D8">
        <w:t>Türkiye'nin Mayıs ayında iç ve dış politikada</w:t>
      </w:r>
      <w:r w:rsidR="002C58A6">
        <w:t>ki</w:t>
      </w:r>
      <w:r w:rsidR="002C58A6" w:rsidRPr="00DC61D8">
        <w:t xml:space="preserve"> belirsizliklerin etkisiyle 500 puana kadar yükselen CDS </w:t>
      </w:r>
      <w:r>
        <w:t xml:space="preserve">- </w:t>
      </w:r>
      <w:r w:rsidR="002C58A6">
        <w:t xml:space="preserve">Kredi Temerrüt Risk Primi </w:t>
      </w:r>
      <w:r w:rsidR="002C58A6" w:rsidRPr="00DC61D8">
        <w:t>bir miktar iyileş</w:t>
      </w:r>
      <w:r>
        <w:t xml:space="preserve">miştir ama </w:t>
      </w:r>
      <w:r w:rsidR="002C58A6" w:rsidRPr="00DC61D8">
        <w:t xml:space="preserve">350 </w:t>
      </w:r>
      <w:proofErr w:type="gramStart"/>
      <w:r w:rsidR="002C58A6" w:rsidRPr="00DC61D8">
        <w:t>baz</w:t>
      </w:r>
      <w:proofErr w:type="gramEnd"/>
      <w:r w:rsidR="002C58A6" w:rsidRPr="00DC61D8">
        <w:t xml:space="preserve"> puan</w:t>
      </w:r>
      <w:r w:rsidR="002C58A6">
        <w:t xml:space="preserve"> seviye</w:t>
      </w:r>
      <w:r w:rsidR="00D63F0D">
        <w:t>ler</w:t>
      </w:r>
      <w:r w:rsidR="002C58A6">
        <w:t xml:space="preserve">inde kalmaya devam etmektedir. </w:t>
      </w:r>
      <w:r w:rsidR="002E05DC" w:rsidRPr="00431D82">
        <w:t>Türkiye ekonomisini</w:t>
      </w:r>
      <w:r>
        <w:t>n</w:t>
      </w:r>
      <w:r w:rsidR="002C58A6" w:rsidRPr="00431D82">
        <w:t xml:space="preserve"> gelişmekte olan </w:t>
      </w:r>
      <w:r w:rsidR="002E05DC" w:rsidRPr="00431D82">
        <w:t xml:space="preserve">diğer </w:t>
      </w:r>
      <w:r w:rsidR="002C58A6" w:rsidRPr="00431D82">
        <w:t>ekonomi</w:t>
      </w:r>
      <w:r w:rsidR="002E05DC" w:rsidRPr="00431D82">
        <w:t>ler</w:t>
      </w:r>
      <w:r w:rsidR="002C58A6" w:rsidRPr="00431D82">
        <w:t>den ayrı</w:t>
      </w:r>
      <w:r>
        <w:t xml:space="preserve">lmasına neden olan </w:t>
      </w:r>
      <w:r w:rsidR="002C58A6" w:rsidRPr="00431D82">
        <w:t>bu tabloda</w:t>
      </w:r>
      <w:r w:rsidR="002E05DC" w:rsidRPr="00431D82">
        <w:t>,</w:t>
      </w:r>
      <w:r w:rsidR="002C58A6" w:rsidRPr="00431D82">
        <w:t xml:space="preserve"> </w:t>
      </w:r>
      <w:r w:rsidR="002E05DC" w:rsidRPr="00431D82">
        <w:t xml:space="preserve">ekonomi yönetiminin </w:t>
      </w:r>
      <w:r w:rsidR="002C58A6" w:rsidRPr="00431D82">
        <w:t xml:space="preserve">karşı karşıya </w:t>
      </w:r>
      <w:r w:rsidR="002E05DC" w:rsidRPr="00431D82">
        <w:t>bulunduğu</w:t>
      </w:r>
      <w:r w:rsidR="002C58A6" w:rsidRPr="00431D82">
        <w:t xml:space="preserve"> yol ayrımının</w:t>
      </w:r>
      <w:r>
        <w:t xml:space="preserve"> piyasalarda</w:t>
      </w:r>
      <w:r w:rsidR="002C58A6" w:rsidRPr="00431D82">
        <w:t xml:space="preserve"> yarattığı güvensizliğin etkili olduğu değerlendirilmektedir. </w:t>
      </w:r>
    </w:p>
    <w:p w:rsidR="00431D82" w:rsidRDefault="00431D82" w:rsidP="002E05DC">
      <w:pPr>
        <w:autoSpaceDE w:val="0"/>
        <w:autoSpaceDN w:val="0"/>
        <w:adjustRightInd w:val="0"/>
        <w:spacing w:after="0" w:line="240" w:lineRule="auto"/>
        <w:jc w:val="both"/>
      </w:pPr>
    </w:p>
    <w:p w:rsidR="002E05DC" w:rsidRPr="00431D82" w:rsidRDefault="00093E81" w:rsidP="002E05DC">
      <w:pPr>
        <w:autoSpaceDE w:val="0"/>
        <w:autoSpaceDN w:val="0"/>
        <w:adjustRightInd w:val="0"/>
        <w:spacing w:after="0" w:line="240" w:lineRule="auto"/>
        <w:jc w:val="both"/>
        <w:rPr>
          <w:rFonts w:cstheme="minorHAnsi"/>
          <w:color w:val="000000" w:themeColor="text1"/>
        </w:rPr>
      </w:pPr>
      <w:r w:rsidRPr="00431D82">
        <w:t>Türki</w:t>
      </w:r>
      <w:r w:rsidR="00703D77">
        <w:t>ye’de üretim, ticaret, ihracat ve</w:t>
      </w:r>
      <w:r w:rsidRPr="00431D82">
        <w:t xml:space="preserve"> istihdam açısından ekonomiyi destekleyecek bir ortam</w:t>
      </w:r>
      <w:r w:rsidR="00703D77">
        <w:t>ın</w:t>
      </w:r>
      <w:r w:rsidRPr="00431D82">
        <w:t xml:space="preserve"> sağla</w:t>
      </w:r>
      <w:r w:rsidR="00703D77">
        <w:t>n</w:t>
      </w:r>
      <w:r w:rsidRPr="00431D82">
        <w:t xml:space="preserve">ması önem taşımaktadır. </w:t>
      </w:r>
      <w:r w:rsidR="00703D77">
        <w:t>Ç</w:t>
      </w:r>
      <w:r w:rsidR="002C58A6" w:rsidRPr="00431D82">
        <w:t>ok</w:t>
      </w:r>
      <w:r w:rsidR="00703D77">
        <w:t xml:space="preserve"> uzak</w:t>
      </w:r>
      <w:r w:rsidR="002C58A6" w:rsidRPr="00431D82">
        <w:t xml:space="preserve"> değil</w:t>
      </w:r>
      <w:r w:rsidR="00703D77">
        <w:t>,</w:t>
      </w:r>
      <w:r w:rsidR="002C58A6" w:rsidRPr="00431D82">
        <w:t xml:space="preserve"> 2017 yılının üçüncü çeyreğinde %11,6 oranı ile en yüksek büyümesini kaydetmiş olan Türkiye ekonomisinde şimdi yeniden enflasyon pahasına</w:t>
      </w:r>
      <w:r w:rsidR="00431D82" w:rsidRPr="00431D82">
        <w:t xml:space="preserve"> </w:t>
      </w:r>
      <w:r w:rsidR="002C58A6" w:rsidRPr="00431D82">
        <w:t>uygulanabilecek büyüme politikalarının kırılganlıkları attırmasından endişe edilmektedir.</w:t>
      </w:r>
      <w:r w:rsidR="00431D82" w:rsidRPr="00431D82">
        <w:rPr>
          <w:rFonts w:cstheme="minorHAnsi"/>
          <w:color w:val="000000" w:themeColor="text1"/>
        </w:rPr>
        <w:t xml:space="preserve"> </w:t>
      </w:r>
      <w:r w:rsidR="00431D82">
        <w:rPr>
          <w:rFonts w:cstheme="minorHAnsi"/>
          <w:color w:val="000000" w:themeColor="text1"/>
        </w:rPr>
        <w:t xml:space="preserve"> </w:t>
      </w:r>
      <w:r w:rsidR="00431D82" w:rsidRPr="00431D82">
        <w:t>E</w:t>
      </w:r>
      <w:r w:rsidR="002E05DC" w:rsidRPr="00431D82">
        <w:t xml:space="preserve">nflasyonla mücadelenin asıl hedef olması ve fiyat istikrarının sağlanması halinde </w:t>
      </w:r>
      <w:r w:rsidRPr="00431D82">
        <w:t xml:space="preserve">faiz </w:t>
      </w:r>
      <w:r w:rsidR="002E05DC" w:rsidRPr="00431D82">
        <w:t>politikalarında da karar alıcıların elinin rahatlamasının söz konusu olacağı değerlendirilmektedir. Böylelikle gelişmiş ülke merkez bankalarının politikaları bağlamında</w:t>
      </w:r>
      <w:r w:rsidRPr="00431D82">
        <w:t xml:space="preserve"> ve negatif faiz oranlarından bahsedilmekte olan küresel piyasada</w:t>
      </w:r>
      <w:r w:rsidR="002E05DC" w:rsidRPr="00431D82">
        <w:t xml:space="preserve"> Türkiye’nin faiz avantajı ile yatırımcılar için yeniden çekici hale gelebileceğine de işaret edilmektedir.</w:t>
      </w:r>
      <w:r w:rsidRPr="00093E81">
        <w:t xml:space="preserve"> </w:t>
      </w:r>
    </w:p>
    <w:p w:rsidR="002E05DC" w:rsidRDefault="002E05DC" w:rsidP="002E05DC">
      <w:pPr>
        <w:autoSpaceDE w:val="0"/>
        <w:autoSpaceDN w:val="0"/>
        <w:adjustRightInd w:val="0"/>
        <w:spacing w:after="0" w:line="240" w:lineRule="auto"/>
        <w:jc w:val="both"/>
      </w:pPr>
    </w:p>
    <w:p w:rsidR="009642C2" w:rsidRPr="00ED753F" w:rsidRDefault="009642C2" w:rsidP="009642C2">
      <w:pPr>
        <w:spacing w:after="0" w:line="240" w:lineRule="auto"/>
        <w:jc w:val="both"/>
        <w:rPr>
          <w:rFonts w:eastAsia="Times New Roman" w:cs="Calibri"/>
          <w:b/>
          <w:color w:val="632423"/>
          <w:sz w:val="32"/>
          <w:szCs w:val="32"/>
        </w:rPr>
      </w:pPr>
      <w:r w:rsidRPr="00ED753F">
        <w:rPr>
          <w:rFonts w:eastAsia="Times New Roman" w:cs="Calibri"/>
          <w:b/>
          <w:color w:val="632423"/>
          <w:sz w:val="32"/>
          <w:szCs w:val="32"/>
        </w:rPr>
        <w:t>DÜNYA</w:t>
      </w:r>
      <w:r w:rsidRPr="00ED753F">
        <w:rPr>
          <w:rFonts w:eastAsia="Times New Roman" w:cs="Calibri"/>
          <w:b/>
          <w:color w:val="632423"/>
          <w:sz w:val="32"/>
          <w:szCs w:val="32"/>
        </w:rPr>
        <w:tab/>
        <w:t xml:space="preserve">                 </w:t>
      </w:r>
    </w:p>
    <w:p w:rsidR="009642C2" w:rsidRDefault="009642C2" w:rsidP="009642C2">
      <w:pPr>
        <w:autoSpaceDE w:val="0"/>
        <w:autoSpaceDN w:val="0"/>
        <w:adjustRightInd w:val="0"/>
        <w:spacing w:after="0" w:line="240" w:lineRule="auto"/>
        <w:jc w:val="both"/>
        <w:rPr>
          <w:rFonts w:eastAsia="Times New Roman" w:cs="Calibri"/>
          <w:b/>
          <w:i/>
          <w:color w:val="632423"/>
          <w:sz w:val="24"/>
          <w:szCs w:val="24"/>
        </w:rPr>
      </w:pPr>
      <w:r w:rsidRPr="00D616FB">
        <w:rPr>
          <w:rFonts w:eastAsia="Times New Roman" w:cs="Calibri"/>
          <w:b/>
          <w:i/>
          <w:color w:val="632423"/>
          <w:sz w:val="24"/>
          <w:szCs w:val="24"/>
        </w:rPr>
        <w:t>Küresel Ekonomi</w:t>
      </w:r>
      <w:r>
        <w:rPr>
          <w:rFonts w:eastAsia="Times New Roman" w:cs="Calibri"/>
          <w:b/>
          <w:i/>
          <w:color w:val="632423"/>
          <w:sz w:val="24"/>
          <w:szCs w:val="24"/>
        </w:rPr>
        <w:t>nin</w:t>
      </w:r>
      <w:r w:rsidRPr="00D616FB">
        <w:rPr>
          <w:rFonts w:eastAsia="Times New Roman" w:cs="Calibri"/>
          <w:b/>
          <w:i/>
          <w:color w:val="632423"/>
          <w:sz w:val="24"/>
          <w:szCs w:val="24"/>
        </w:rPr>
        <w:t xml:space="preserve"> İklim Krizi: Şoklara Alışıldı, Önlemler Sınırlı</w:t>
      </w:r>
    </w:p>
    <w:p w:rsidR="009642C2" w:rsidRDefault="009642C2" w:rsidP="009642C2">
      <w:pPr>
        <w:autoSpaceDE w:val="0"/>
        <w:autoSpaceDN w:val="0"/>
        <w:adjustRightInd w:val="0"/>
        <w:spacing w:after="0" w:line="240" w:lineRule="auto"/>
        <w:jc w:val="both"/>
        <w:rPr>
          <w:rFonts w:eastAsia="Times New Roman" w:cs="Calibri"/>
          <w:b/>
          <w:i/>
          <w:color w:val="632423"/>
          <w:sz w:val="24"/>
          <w:szCs w:val="24"/>
          <w:highlight w:val="yellow"/>
        </w:rPr>
      </w:pPr>
    </w:p>
    <w:p w:rsidR="009642C2" w:rsidRDefault="009642C2" w:rsidP="009642C2">
      <w:pPr>
        <w:autoSpaceDE w:val="0"/>
        <w:autoSpaceDN w:val="0"/>
        <w:adjustRightInd w:val="0"/>
        <w:spacing w:after="0" w:line="240" w:lineRule="auto"/>
        <w:jc w:val="both"/>
      </w:pPr>
      <w:r>
        <w:t xml:space="preserve">Dünya ekonomisi küreselleşmenin </w:t>
      </w:r>
      <w:r w:rsidR="009448CC">
        <w:t xml:space="preserve">yavaşladığı </w:t>
      </w:r>
      <w:r w:rsidR="00D63F0D">
        <w:t>kritik bir dönemeçten geçerken,</w:t>
      </w:r>
      <w:r w:rsidR="00472F7F">
        <w:t xml:space="preserve"> </w:t>
      </w:r>
      <w:r>
        <w:t xml:space="preserve">2019 yılı da endişelerin arttığı zor bir </w:t>
      </w:r>
      <w:r w:rsidRPr="00FB6DD6">
        <w:t xml:space="preserve">yıl olarak değerlendirilmektedir. </w:t>
      </w:r>
      <w:r w:rsidR="00472F7F">
        <w:t xml:space="preserve"> H</w:t>
      </w:r>
      <w:r w:rsidRPr="00FB6DD6">
        <w:t xml:space="preserve">ızlı büyüme ortamı </w:t>
      </w:r>
      <w:r w:rsidR="00472F7F">
        <w:t>ve</w:t>
      </w:r>
      <w:r w:rsidR="00472F7F" w:rsidRPr="00FB6DD6">
        <w:t xml:space="preserve"> </w:t>
      </w:r>
      <w:r w:rsidRPr="00FB6DD6">
        <w:t xml:space="preserve">yükselen </w:t>
      </w:r>
      <w:proofErr w:type="gramStart"/>
      <w:r w:rsidRPr="00FB6DD6">
        <w:t>popülist</w:t>
      </w:r>
      <w:proofErr w:type="gramEnd"/>
      <w:r w:rsidRPr="00FB6DD6">
        <w:t xml:space="preserve"> politikalar </w:t>
      </w:r>
      <w:r w:rsidR="00472F7F">
        <w:t>2008</w:t>
      </w:r>
      <w:r w:rsidR="006E0368">
        <w:t xml:space="preserve"> Küresel </w:t>
      </w:r>
      <w:r w:rsidR="00472F7F">
        <w:t>Finans Krizi</w:t>
      </w:r>
      <w:r w:rsidR="006E0368">
        <w:t>’</w:t>
      </w:r>
      <w:r w:rsidR="00472F7F">
        <w:t xml:space="preserve">nin ardından dünyada </w:t>
      </w:r>
      <w:r w:rsidRPr="00FB6DD6">
        <w:t xml:space="preserve">etkili olmuş, bu tabloda ortaya çıkan ABD - Çin ticaret savaşı ile İngiltere’nin </w:t>
      </w:r>
      <w:proofErr w:type="spellStart"/>
      <w:r w:rsidRPr="00FB6DD6">
        <w:t>Brexit</w:t>
      </w:r>
      <w:proofErr w:type="spellEnd"/>
      <w:r w:rsidRPr="00FB6DD6">
        <w:t xml:space="preserve"> sürec</w:t>
      </w:r>
      <w:r w:rsidR="006E0368">
        <w:t xml:space="preserve">inin küresel ekonomiye yükü </w:t>
      </w:r>
      <w:r w:rsidRPr="00FB6DD6">
        <w:t>geçtiğimiz çeyrek dönemde de artarak sürmüştür.</w:t>
      </w:r>
      <w:r w:rsidRPr="008B3A46">
        <w:t xml:space="preserve"> </w:t>
      </w:r>
    </w:p>
    <w:p w:rsidR="009642C2" w:rsidRDefault="009642C2" w:rsidP="009642C2">
      <w:pPr>
        <w:autoSpaceDE w:val="0"/>
        <w:autoSpaceDN w:val="0"/>
        <w:adjustRightInd w:val="0"/>
        <w:spacing w:after="0" w:line="240" w:lineRule="auto"/>
        <w:jc w:val="both"/>
      </w:pPr>
    </w:p>
    <w:p w:rsidR="009642C2" w:rsidRPr="00FB6DD6" w:rsidRDefault="00D63F0D" w:rsidP="009642C2">
      <w:pPr>
        <w:autoSpaceDE w:val="0"/>
        <w:autoSpaceDN w:val="0"/>
        <w:adjustRightInd w:val="0"/>
        <w:spacing w:after="0" w:line="240" w:lineRule="auto"/>
        <w:jc w:val="both"/>
      </w:pPr>
      <w:r>
        <w:t>IMF</w:t>
      </w:r>
      <w:r w:rsidR="006E0368">
        <w:t xml:space="preserve"> tarafından</w:t>
      </w:r>
      <w:r w:rsidR="009642C2">
        <w:t xml:space="preserve"> ticaret savaşının yarattığı belirsizliğin geçmiş dönemde yaşanan ticaret kavgalarının 10</w:t>
      </w:r>
      <w:r w:rsidR="006E0368">
        <w:t xml:space="preserve"> misli daha fazla olduğu</w:t>
      </w:r>
      <w:r w:rsidR="009642C2">
        <w:t xml:space="preserve"> hesapla</w:t>
      </w:r>
      <w:r w:rsidR="006E0368">
        <w:t>n</w:t>
      </w:r>
      <w:r w:rsidR="009642C2">
        <w:t xml:space="preserve">mıştır. </w:t>
      </w:r>
      <w:r w:rsidR="006E0368">
        <w:t xml:space="preserve">Son dönemde </w:t>
      </w:r>
      <w:r w:rsidR="009642C2">
        <w:t xml:space="preserve">ABD Başkanı Donald </w:t>
      </w:r>
      <w:proofErr w:type="spellStart"/>
      <w:r w:rsidR="009642C2">
        <w:t>Trump</w:t>
      </w:r>
      <w:proofErr w:type="spellEnd"/>
      <w:r w:rsidR="009642C2">
        <w:t xml:space="preserve"> tarafından yapılan açıklamalar, ABD - Çin ticaret müzakerelerine ilişkin kötümserliği zaman </w:t>
      </w:r>
      <w:proofErr w:type="spellStart"/>
      <w:r w:rsidR="009642C2">
        <w:t>zaman</w:t>
      </w:r>
      <w:proofErr w:type="spellEnd"/>
      <w:r w:rsidR="009642C2">
        <w:t xml:space="preserve"> körüklemiş, kimi zaman da çözüme dair umutları yeşertmiştir. </w:t>
      </w:r>
      <w:r w:rsidR="009642C2" w:rsidRPr="006478C9">
        <w:t xml:space="preserve">ABD’nin Çin’den ithal ettiği 300 milyar </w:t>
      </w:r>
      <w:r w:rsidR="009642C2" w:rsidRPr="00FB6DD6">
        <w:t>ABD Doları tutarındaki ürün</w:t>
      </w:r>
      <w:r w:rsidR="00BA2843">
        <w:t xml:space="preserve"> için ilan ettiği</w:t>
      </w:r>
      <w:r w:rsidR="009642C2" w:rsidRPr="00FB6DD6">
        <w:t xml:space="preserve"> ek vergilerin bir kısmı Eylül ayı başında yürürlüğe girerken, kalanının Aralık’ta devreye alınması beklenmektedir. Pekin yönetimi, </w:t>
      </w:r>
      <w:r w:rsidR="006E0368">
        <w:t>be ek vergiler</w:t>
      </w:r>
      <w:r w:rsidR="009642C2" w:rsidRPr="00FB6DD6">
        <w:t xml:space="preserve"> üzerine ABD’den tarım ürünü </w:t>
      </w:r>
      <w:r w:rsidR="00BA2843">
        <w:t>ithal etmeyeceğini</w:t>
      </w:r>
      <w:r w:rsidR="00BA2843" w:rsidRPr="00FB6DD6">
        <w:t xml:space="preserve"> </w:t>
      </w:r>
      <w:r w:rsidR="009642C2" w:rsidRPr="00FB6DD6">
        <w:t xml:space="preserve">ilan etmiştir. </w:t>
      </w:r>
      <w:r w:rsidR="006E0368">
        <w:t>Ardından</w:t>
      </w:r>
      <w:r w:rsidR="00BA2843">
        <w:t xml:space="preserve"> m</w:t>
      </w:r>
      <w:r w:rsidR="009642C2" w:rsidRPr="00FB6DD6">
        <w:t xml:space="preserve">üzakerelerin Ekim ayında devam edeceğinin açıklanmasıyla ticaret savaşının piyasalar üzerindeki olumsuz etkisi bir miktar hafiflemiştir. Ancak </w:t>
      </w:r>
      <w:r w:rsidR="00BA2843">
        <w:t xml:space="preserve">Başkan </w:t>
      </w:r>
      <w:proofErr w:type="spellStart"/>
      <w:r w:rsidR="009642C2" w:rsidRPr="00FB6DD6">
        <w:t>Trump’ın</w:t>
      </w:r>
      <w:proofErr w:type="spellEnd"/>
      <w:r w:rsidR="009642C2" w:rsidRPr="00FB6DD6">
        <w:t xml:space="preserve"> izlemekte olduğu </w:t>
      </w:r>
      <w:proofErr w:type="gramStart"/>
      <w:r w:rsidR="009642C2" w:rsidRPr="00FB6DD6">
        <w:t>popülist</w:t>
      </w:r>
      <w:proofErr w:type="gramEnd"/>
      <w:r w:rsidR="009642C2" w:rsidRPr="00FB6DD6">
        <w:t xml:space="preserve"> politikalar paralelinde</w:t>
      </w:r>
      <w:r w:rsidR="006E0368">
        <w:t xml:space="preserve"> ABD’de</w:t>
      </w:r>
      <w:r w:rsidR="009642C2" w:rsidRPr="00FB6DD6">
        <w:t xml:space="preserve"> 2020 yılında yapılacak Başkanlık Seçimi öncesinde Çin ile kalıcı bir uzlaşma sağlaması beklenmemekte, hatta ticaret savaşının cephesini</w:t>
      </w:r>
      <w:r w:rsidR="00BA2843">
        <w:t>n</w:t>
      </w:r>
      <w:r w:rsidR="009642C2" w:rsidRPr="00FB6DD6">
        <w:t xml:space="preserve"> AB</w:t>
      </w:r>
      <w:r w:rsidR="00BA2843">
        <w:t xml:space="preserve"> ile genişletilebileceği</w:t>
      </w:r>
      <w:r w:rsidR="009642C2" w:rsidRPr="00FB6DD6">
        <w:t xml:space="preserve"> öne sürülmektedir.</w:t>
      </w:r>
    </w:p>
    <w:p w:rsidR="009642C2" w:rsidRPr="00FB6DD6"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FB6DD6">
        <w:lastRenderedPageBreak/>
        <w:t xml:space="preserve">Bu gelişmeler önümüzdeki döneme ilişkin beklentileri olumsuz etkilemektedir. Nitekim </w:t>
      </w:r>
      <w:r w:rsidR="00A22099">
        <w:t xml:space="preserve">IMF, </w:t>
      </w:r>
      <w:r w:rsidRPr="00FB6DD6">
        <w:t>Dünya Ticaret Belirsizliği Endeksi'nin 20 yıllık yatay seyrin ardından</w:t>
      </w:r>
      <w:r w:rsidR="001879B9">
        <w:t xml:space="preserve"> artan belirsizliklerle birlikte</w:t>
      </w:r>
      <w:r w:rsidRPr="00FB6DD6">
        <w:t xml:space="preserve"> bu yılın üçüncü çeyreğinde yükselmeye başladığına işaret e</w:t>
      </w:r>
      <w:r w:rsidR="00A22099">
        <w:t xml:space="preserve">tmiş </w:t>
      </w:r>
      <w:r w:rsidRPr="00FB6DD6">
        <w:t xml:space="preserve">%3 dolayında </w:t>
      </w:r>
      <w:r w:rsidR="001879B9">
        <w:t xml:space="preserve">büyümekte olan dünya ekonomisinin bu çerçevede </w:t>
      </w:r>
      <w:r w:rsidRPr="00C46877">
        <w:t>0,75 puan</w:t>
      </w:r>
      <w:r w:rsidR="00A22099">
        <w:t xml:space="preserve"> </w:t>
      </w:r>
      <w:r w:rsidR="001879B9">
        <w:t>ivme kaybedebileceğini</w:t>
      </w:r>
      <w:r w:rsidRPr="00C46877">
        <w:t xml:space="preserve"> açıklamıştır</w:t>
      </w:r>
      <w:r>
        <w:t>.</w:t>
      </w:r>
    </w:p>
    <w:p w:rsidR="009642C2"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proofErr w:type="spellStart"/>
      <w:r>
        <w:t>Fitch</w:t>
      </w:r>
      <w:proofErr w:type="spellEnd"/>
      <w:r>
        <w:t xml:space="preserve"> </w:t>
      </w:r>
      <w:proofErr w:type="spellStart"/>
      <w:r>
        <w:t>Ratings</w:t>
      </w:r>
      <w:proofErr w:type="spellEnd"/>
      <w:r>
        <w:t xml:space="preserve"> tarafından açıklanan </w:t>
      </w:r>
      <w:r w:rsidR="00B11529" w:rsidRPr="009448CC">
        <w:t xml:space="preserve">“Küresel Ekonomik Görünüm Eylül 2019 Güncelleme Öncesi </w:t>
      </w:r>
      <w:proofErr w:type="spellStart"/>
      <w:r w:rsidR="00B11529" w:rsidRPr="009448CC">
        <w:t>Raporu”</w:t>
      </w:r>
      <w:r>
        <w:t>da</w:t>
      </w:r>
      <w:proofErr w:type="spellEnd"/>
      <w:r w:rsidR="006E0368">
        <w:t xml:space="preserve"> da</w:t>
      </w:r>
      <w:r>
        <w:t xml:space="preserve"> ABD - Çin ticaret savaşının ve anlaşmasız </w:t>
      </w:r>
      <w:proofErr w:type="spellStart"/>
      <w:r>
        <w:t>Brexit’in</w:t>
      </w:r>
      <w:proofErr w:type="spellEnd"/>
      <w:r>
        <w:t xml:space="preserve"> oluşturduğu önemli riskler dâhil olmak üzere ticaret politikası üzerindeki bozulmanın küresel ekonomik görünümü kararttığı belirtilmiştir. Bu </w:t>
      </w:r>
      <w:r w:rsidR="00EC1A39">
        <w:t xml:space="preserve">tabloda </w:t>
      </w:r>
      <w:proofErr w:type="spellStart"/>
      <w:r>
        <w:t>Fitch</w:t>
      </w:r>
      <w:proofErr w:type="spellEnd"/>
      <w:r>
        <w:t xml:space="preserve">, Çin'in bu yıla ilişkin ekonomik büyüme beklentisini 0,1 </w:t>
      </w:r>
      <w:proofErr w:type="gramStart"/>
      <w:r>
        <w:t>baz</w:t>
      </w:r>
      <w:proofErr w:type="gramEnd"/>
      <w:r>
        <w:t xml:space="preserve"> puan düşürerek %6,1’e, 2020’ye ilişkin büyüme beklentisini ise 0,3 baz puan azaltarak %5,7’ye indirmiştir. </w:t>
      </w:r>
      <w:proofErr w:type="spellStart"/>
      <w:r w:rsidR="00EC1A39">
        <w:t>Fitch’in</w:t>
      </w:r>
      <w:proofErr w:type="spellEnd"/>
      <w:r w:rsidR="00EC1A39">
        <w:t xml:space="preserve"> r</w:t>
      </w:r>
      <w:r w:rsidRPr="007257B8">
        <w:t>apor</w:t>
      </w:r>
      <w:r w:rsidR="00EC1A39">
        <w:t>un</w:t>
      </w:r>
      <w:r w:rsidRPr="007257B8">
        <w:t>da, Çin'in ekonomik olarak yavaşlamasının etkisinin Euro Bölgesi'ndeki son büyüme rakamlarında görüldüğüne işaretle</w:t>
      </w:r>
      <w:r>
        <w:t>,</w:t>
      </w:r>
      <w:r w:rsidRPr="007257B8">
        <w:t xml:space="preserve"> bölgenin bu yıla ilişkin ekonomik büyüme beklentisi 0,1 </w:t>
      </w:r>
      <w:proofErr w:type="gramStart"/>
      <w:r w:rsidRPr="007257B8">
        <w:t>baz</w:t>
      </w:r>
      <w:proofErr w:type="gramEnd"/>
      <w:r w:rsidRPr="007257B8">
        <w:t xml:space="preserve"> puan indirilerek %1’e, 2020’ye ilişkin büyüme beklentisi ise 0,2 baz puan azaltılarak %1,1’e düşürülmüştür. </w:t>
      </w:r>
      <w:proofErr w:type="spellStart"/>
      <w:r w:rsidRPr="007257B8">
        <w:t>Fi</w:t>
      </w:r>
      <w:r w:rsidR="00EC1A39">
        <w:t>tch</w:t>
      </w:r>
      <w:proofErr w:type="spellEnd"/>
      <w:r w:rsidR="00EC1A39">
        <w:t>, ABD ekonomisi için ise</w:t>
      </w:r>
      <w:r w:rsidRPr="007257B8">
        <w:t xml:space="preserve"> büyüme tahminini bu yıl ve g</w:t>
      </w:r>
      <w:r>
        <w:t>elecek yıl için 0,1 puan düşür</w:t>
      </w:r>
      <w:r w:rsidRPr="007257B8">
        <w:t>erek sırasıyla %2,3 ve %1,7 olarak revize etmiştir.</w:t>
      </w:r>
    </w:p>
    <w:p w:rsidR="009642C2" w:rsidRDefault="009642C2" w:rsidP="009642C2">
      <w:pPr>
        <w:autoSpaceDE w:val="0"/>
        <w:autoSpaceDN w:val="0"/>
        <w:adjustRightInd w:val="0"/>
        <w:spacing w:after="0" w:line="240" w:lineRule="auto"/>
        <w:jc w:val="both"/>
      </w:pPr>
    </w:p>
    <w:p w:rsidR="009642C2" w:rsidRDefault="00EC1A39" w:rsidP="009642C2">
      <w:pPr>
        <w:autoSpaceDE w:val="0"/>
        <w:autoSpaceDN w:val="0"/>
        <w:adjustRightInd w:val="0"/>
        <w:spacing w:after="0" w:line="240" w:lineRule="auto"/>
        <w:jc w:val="both"/>
      </w:pPr>
      <w:r>
        <w:t>Bir diğer u</w:t>
      </w:r>
      <w:r w:rsidR="009642C2">
        <w:t xml:space="preserve">luslararası kredi derecelendirme kuruluşu </w:t>
      </w:r>
      <w:proofErr w:type="spellStart"/>
      <w:r w:rsidR="009642C2">
        <w:t>Moody’s</w:t>
      </w:r>
      <w:proofErr w:type="spellEnd"/>
      <w:r>
        <w:t>,</w:t>
      </w:r>
      <w:r w:rsidR="009642C2">
        <w:t xml:space="preserve"> ticaret savaşının etkisi nedeniyle Çin’in yanı sıra aralarında Japonya ve Güney Kore’nin bulunduğu 16 Asya ülkesi için </w:t>
      </w:r>
      <w:r w:rsidR="00BA2843">
        <w:t xml:space="preserve">de </w:t>
      </w:r>
      <w:r w:rsidR="009642C2">
        <w:t xml:space="preserve">büyüme tahminini düşürmüştür. </w:t>
      </w:r>
    </w:p>
    <w:p w:rsidR="009F03D6" w:rsidRDefault="009F03D6"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9448CC">
        <w:t xml:space="preserve">Euro Bölgesi’nde siyasi sorunlar sürerken, </w:t>
      </w:r>
      <w:proofErr w:type="spellStart"/>
      <w:r w:rsidRPr="009448CC">
        <w:t>Brexit</w:t>
      </w:r>
      <w:proofErr w:type="spellEnd"/>
      <w:r w:rsidRPr="009448CC">
        <w:t xml:space="preserve"> süreci son olarak İngiltere Parlamentosu’nda güçler ayrılığı ilkesi tartışmalarına </w:t>
      </w:r>
      <w:proofErr w:type="spellStart"/>
      <w:r w:rsidRPr="009448CC">
        <w:t>evrilen</w:t>
      </w:r>
      <w:proofErr w:type="spellEnd"/>
      <w:r w:rsidRPr="009448CC">
        <w:t xml:space="preserve"> bir gündem yaratmayı başarmıştır. </w:t>
      </w:r>
      <w:proofErr w:type="spellStart"/>
      <w:r w:rsidRPr="009448CC">
        <w:t>Brexit</w:t>
      </w:r>
      <w:proofErr w:type="spellEnd"/>
      <w:r w:rsidRPr="009448CC">
        <w:t xml:space="preserve"> kampanyasının önde gelen isimlerinden olan </w:t>
      </w:r>
      <w:r w:rsidR="00BA2843" w:rsidRPr="009448CC">
        <w:t>y</w:t>
      </w:r>
      <w:r w:rsidRPr="009448CC">
        <w:t xml:space="preserve">eni Başbakan </w:t>
      </w:r>
      <w:proofErr w:type="spellStart"/>
      <w:r w:rsidRPr="009448CC">
        <w:t>Boris</w:t>
      </w:r>
      <w:proofErr w:type="spellEnd"/>
      <w:r w:rsidRPr="009448CC">
        <w:t xml:space="preserve"> Johnson, AB’den anlaşmasız ayrılık sürecini engelleyecek bir yasal düzenleme çıkaran Parlamento'yu beş hafta süreyle </w:t>
      </w:r>
      <w:r w:rsidR="009448CC" w:rsidRPr="009448CC">
        <w:t xml:space="preserve">tatil etmiş, diğer </w:t>
      </w:r>
      <w:r w:rsidR="00EC1A39">
        <w:t xml:space="preserve">bir </w:t>
      </w:r>
      <w:r w:rsidR="009448CC" w:rsidRPr="009448CC">
        <w:t xml:space="preserve">deyişle </w:t>
      </w:r>
      <w:r w:rsidRPr="009448CC">
        <w:t>askıya almıştır. Yüksek Mahk</w:t>
      </w:r>
      <w:r w:rsidR="00EC1A39">
        <w:t>eme’nin,</w:t>
      </w:r>
      <w:r w:rsidRPr="009448CC">
        <w:t xml:space="preserve"> kararı parlamenter demokraside güçler ayrılığı ilkesinden hareketle yasalara aykırı bulması</w:t>
      </w:r>
      <w:r w:rsidR="00EC1A39">
        <w:t xml:space="preserve"> ile</w:t>
      </w:r>
      <w:r w:rsidRPr="009448CC">
        <w:t xml:space="preserve"> gözler</w:t>
      </w:r>
      <w:r w:rsidR="00EC1A39">
        <w:t>,</w:t>
      </w:r>
      <w:r w:rsidRPr="009448CC">
        <w:t xml:space="preserve"> Johnson’un sonraki adımlarına kilitlenmi</w:t>
      </w:r>
      <w:r w:rsidR="00EC1A39">
        <w:t>ş durumdadır.</w:t>
      </w:r>
      <w:r w:rsidRPr="009448CC">
        <w:t xml:space="preserve"> İngiltere ile İrlanda sınırı konusunda uzlaşamayan Avrupa Birliği (AB) Komisyonu Başkanı Jean</w:t>
      </w:r>
      <w:r w:rsidR="00B821E3">
        <w:t xml:space="preserve"> </w:t>
      </w:r>
      <w:r w:rsidRPr="009448CC">
        <w:t>-</w:t>
      </w:r>
      <w:r w:rsidR="00B821E3">
        <w:t xml:space="preserve"> </w:t>
      </w:r>
      <w:proofErr w:type="spellStart"/>
      <w:r w:rsidRPr="009448CC">
        <w:t>Claude</w:t>
      </w:r>
      <w:proofErr w:type="spellEnd"/>
      <w:r w:rsidRPr="009448CC">
        <w:t xml:space="preserve"> </w:t>
      </w:r>
      <w:proofErr w:type="spellStart"/>
      <w:r w:rsidRPr="009448CC">
        <w:t>Juncker</w:t>
      </w:r>
      <w:proofErr w:type="spellEnd"/>
      <w:r>
        <w:t xml:space="preserve"> </w:t>
      </w:r>
      <w:r w:rsidR="001B1C47">
        <w:t xml:space="preserve">Birlik ile konuya ilişkin alternatif bir plan paylaşan İngiltere’nin “olumlu gelişme kaydettiğini ancak halen üzerinde çalışılması gereken bazı sorunlu noktaların </w:t>
      </w:r>
      <w:proofErr w:type="spellStart"/>
      <w:r w:rsidR="001B1C47">
        <w:t>bulunduğu”nu</w:t>
      </w:r>
      <w:proofErr w:type="spellEnd"/>
      <w:r w:rsidR="001B1C47">
        <w:t xml:space="preserve"> açıklamıştır. </w:t>
      </w:r>
    </w:p>
    <w:p w:rsidR="009642C2" w:rsidRDefault="009642C2" w:rsidP="009642C2">
      <w:pPr>
        <w:autoSpaceDE w:val="0"/>
        <w:autoSpaceDN w:val="0"/>
        <w:adjustRightInd w:val="0"/>
        <w:spacing w:after="0" w:line="240" w:lineRule="auto"/>
        <w:jc w:val="both"/>
      </w:pPr>
    </w:p>
    <w:p w:rsidR="008F72E1" w:rsidRDefault="009642C2" w:rsidP="008F72E1">
      <w:pPr>
        <w:autoSpaceDE w:val="0"/>
        <w:autoSpaceDN w:val="0"/>
        <w:adjustRightInd w:val="0"/>
        <w:spacing w:after="0" w:line="240" w:lineRule="auto"/>
        <w:jc w:val="both"/>
      </w:pPr>
      <w:r>
        <w:t>Avrupa’nın en büyüğü olan Almanya ekonomisinde ikinci çeyrekte yıllık büyümenin %0,4 oranıyla 2013’ten bu</w:t>
      </w:r>
      <w:r w:rsidR="00EC1A39">
        <w:t xml:space="preserve"> yana en düşük seviyeye inmesi </w:t>
      </w:r>
      <w:r>
        <w:t xml:space="preserve">otomotiv </w:t>
      </w:r>
      <w:proofErr w:type="spellStart"/>
      <w:r>
        <w:t>sanayiindeki</w:t>
      </w:r>
      <w:proofErr w:type="spellEnd"/>
      <w:r>
        <w:t xml:space="preserve"> sorunların, ticaret savaşının ve </w:t>
      </w:r>
      <w:proofErr w:type="spellStart"/>
      <w:r>
        <w:t>Brexit’e</w:t>
      </w:r>
      <w:proofErr w:type="spellEnd"/>
      <w:r>
        <w:t xml:space="preserve"> yönelik belirsizliklerin etkisiyle açıklanmıştır.</w:t>
      </w:r>
      <w:r w:rsidR="00EC1A39">
        <w:t xml:space="preserve"> Bu bağlamda</w:t>
      </w:r>
      <w:r>
        <w:t xml:space="preserve"> </w:t>
      </w:r>
      <w:r w:rsidR="008F72E1">
        <w:t>Euro Bölgesi’nde, kamu harcamalarının artırılmasıyla uygulanacak yeni bir kalkınma planına duyulan ihtiyaç vurgulanmaktadır.</w:t>
      </w:r>
    </w:p>
    <w:p w:rsidR="00402F30" w:rsidRDefault="00402F30" w:rsidP="008F72E1">
      <w:pPr>
        <w:autoSpaceDE w:val="0"/>
        <w:autoSpaceDN w:val="0"/>
        <w:adjustRightInd w:val="0"/>
        <w:spacing w:after="0" w:line="240" w:lineRule="auto"/>
        <w:jc w:val="both"/>
        <w:rPr>
          <w:rFonts w:cstheme="minorHAnsi"/>
        </w:rPr>
      </w:pPr>
    </w:p>
    <w:p w:rsidR="009642C2" w:rsidRDefault="009642C2" w:rsidP="009642C2">
      <w:pPr>
        <w:autoSpaceDE w:val="0"/>
        <w:autoSpaceDN w:val="0"/>
        <w:adjustRightInd w:val="0"/>
        <w:spacing w:after="0" w:line="240" w:lineRule="auto"/>
        <w:jc w:val="both"/>
      </w:pPr>
      <w:r>
        <w:t>Ticaret savaşı, küresel ekonomideki yavaşlama ve artan jeopolitik riskler sonucunda</w:t>
      </w:r>
      <w:r w:rsidRPr="001575EC">
        <w:t xml:space="preserve"> </w:t>
      </w:r>
      <w:r>
        <w:t>iki büyük merkez bankası sıkı para politikasına ara vermiş gözük</w:t>
      </w:r>
      <w:r w:rsidR="00EC1A39">
        <w:t xml:space="preserve">mektedir. </w:t>
      </w:r>
      <w:r w:rsidRPr="001D5350">
        <w:t xml:space="preserve">ECB Başkanı </w:t>
      </w:r>
      <w:proofErr w:type="spellStart"/>
      <w:r w:rsidRPr="001D5350">
        <w:t>Mario</w:t>
      </w:r>
      <w:proofErr w:type="spellEnd"/>
      <w:r w:rsidRPr="001D5350">
        <w:t xml:space="preserve"> </w:t>
      </w:r>
      <w:proofErr w:type="spellStart"/>
      <w:r w:rsidRPr="001D5350">
        <w:t>Draghi</w:t>
      </w:r>
      <w:proofErr w:type="spellEnd"/>
      <w:r w:rsidRPr="001D5350">
        <w:t>, maliye politikaları olmadan açıklanan para politikası kararlarının ekonomideki kötü gidişatı engellemey</w:t>
      </w:r>
      <w:r>
        <w:t xml:space="preserve">e yetmeyeceği görüşünü yinelemiştir. </w:t>
      </w:r>
      <w:r w:rsidRPr="005464C3">
        <w:t xml:space="preserve">FED Başkanı </w:t>
      </w:r>
      <w:proofErr w:type="spellStart"/>
      <w:r>
        <w:t>Jerome</w:t>
      </w:r>
      <w:proofErr w:type="spellEnd"/>
      <w:r>
        <w:t xml:space="preserve"> </w:t>
      </w:r>
      <w:proofErr w:type="spellStart"/>
      <w:r w:rsidRPr="005464C3">
        <w:t>Powell</w:t>
      </w:r>
      <w:r>
        <w:t>’ın</w:t>
      </w:r>
      <w:proofErr w:type="spellEnd"/>
      <w:r w:rsidRPr="005464C3">
        <w:t xml:space="preserve"> </w:t>
      </w:r>
      <w:r>
        <w:t>‘’</w:t>
      </w:r>
      <w:r w:rsidRPr="005464C3">
        <w:t>Ticaret savaşı ile artan büyüme belirsizliklerini ben faiz indirerek yönetemem. Bu benim işim değil”</w:t>
      </w:r>
      <w:r>
        <w:t xml:space="preserve"> sözleri de son yıllarda dünyada para politikalarına yüklen</w:t>
      </w:r>
      <w:r w:rsidRPr="001575EC">
        <w:t>en sorumlu</w:t>
      </w:r>
      <w:r>
        <w:t>luğun</w:t>
      </w:r>
      <w:r w:rsidRPr="001575EC">
        <w:t xml:space="preserve"> </w:t>
      </w:r>
      <w:r>
        <w:t xml:space="preserve">ağırlığına işaret eder niteliktedir. </w:t>
      </w:r>
    </w:p>
    <w:p w:rsidR="001879B9" w:rsidRDefault="001879B9" w:rsidP="009642C2">
      <w:pPr>
        <w:autoSpaceDE w:val="0"/>
        <w:autoSpaceDN w:val="0"/>
        <w:adjustRightInd w:val="0"/>
        <w:spacing w:after="0" w:line="240" w:lineRule="auto"/>
        <w:jc w:val="both"/>
      </w:pPr>
    </w:p>
    <w:p w:rsidR="00A0515C" w:rsidRDefault="009642C2" w:rsidP="00A0515C">
      <w:pPr>
        <w:autoSpaceDE w:val="0"/>
        <w:autoSpaceDN w:val="0"/>
        <w:adjustRightInd w:val="0"/>
        <w:spacing w:after="0" w:line="240" w:lineRule="auto"/>
        <w:jc w:val="both"/>
      </w:pPr>
      <w:r>
        <w:t xml:space="preserve">Buna karşın gelişmiş ülke merkez bankalarının, önümüzdeki dönemde </w:t>
      </w:r>
      <w:r w:rsidR="00EC1A39">
        <w:t xml:space="preserve">yine </w:t>
      </w:r>
      <w:r>
        <w:t>dünya ekonomisinin öne çıkan aktörleri olmayı sürdü</w:t>
      </w:r>
      <w:r w:rsidR="00EC1A39">
        <w:t>rmesi beklenirken;</w:t>
      </w:r>
      <w:r>
        <w:t xml:space="preserve"> ABD Başkanı </w:t>
      </w:r>
      <w:proofErr w:type="spellStart"/>
      <w:r>
        <w:t>Trump’ın</w:t>
      </w:r>
      <w:proofErr w:type="spellEnd"/>
      <w:r w:rsidR="00EC1A39">
        <w:t>,</w:t>
      </w:r>
      <w:r>
        <w:t xml:space="preserve"> 2020 yılı Başkanlık Seçimi öncesinde </w:t>
      </w:r>
      <w:proofErr w:type="spellStart"/>
      <w:r>
        <w:t>FED’e</w:t>
      </w:r>
      <w:proofErr w:type="spellEnd"/>
      <w:r>
        <w:t xml:space="preserve"> yönelik daha sivrile</w:t>
      </w:r>
      <w:r w:rsidR="00BA2843">
        <w:t>şebilecek</w:t>
      </w:r>
      <w:r>
        <w:t xml:space="preserve"> mesajları yakından izlenecektir. </w:t>
      </w:r>
      <w:r w:rsidR="00EC1A39">
        <w:t xml:space="preserve">Nitekim </w:t>
      </w:r>
      <w:r>
        <w:t xml:space="preserve">JP Morgan, geçtiğimiz günlerde </w:t>
      </w:r>
      <w:proofErr w:type="spellStart"/>
      <w:r>
        <w:t>Trump’ın</w:t>
      </w:r>
      <w:proofErr w:type="spellEnd"/>
      <w:r>
        <w:t xml:space="preserve"> </w:t>
      </w:r>
      <w:proofErr w:type="spellStart"/>
      <w:r>
        <w:t>tweetlerinin</w:t>
      </w:r>
      <w:proofErr w:type="spellEnd"/>
      <w:r>
        <w:t xml:space="preserve"> tahvil piyasasına etkisini ölçmek için bir endeks oluşturduğunu açıklamıştır.</w:t>
      </w:r>
      <w:r w:rsidR="00A0515C" w:rsidRPr="00A0515C">
        <w:t xml:space="preserve"> </w:t>
      </w:r>
    </w:p>
    <w:p w:rsidR="00A0515C" w:rsidRDefault="00A0515C" w:rsidP="00A0515C">
      <w:pPr>
        <w:autoSpaceDE w:val="0"/>
        <w:autoSpaceDN w:val="0"/>
        <w:adjustRightInd w:val="0"/>
        <w:spacing w:after="0" w:line="240" w:lineRule="auto"/>
        <w:jc w:val="both"/>
      </w:pPr>
    </w:p>
    <w:p w:rsidR="001879B9" w:rsidRDefault="001879B9" w:rsidP="009642C2">
      <w:pPr>
        <w:autoSpaceDE w:val="0"/>
        <w:autoSpaceDN w:val="0"/>
        <w:adjustRightInd w:val="0"/>
        <w:spacing w:after="0" w:line="240" w:lineRule="auto"/>
        <w:jc w:val="both"/>
        <w:rPr>
          <w:b/>
        </w:rPr>
      </w:pPr>
    </w:p>
    <w:p w:rsidR="00E141F7" w:rsidRDefault="00E141F7" w:rsidP="009642C2">
      <w:pPr>
        <w:autoSpaceDE w:val="0"/>
        <w:autoSpaceDN w:val="0"/>
        <w:adjustRightInd w:val="0"/>
        <w:spacing w:after="0" w:line="240" w:lineRule="auto"/>
        <w:jc w:val="both"/>
        <w:rPr>
          <w:b/>
        </w:rPr>
      </w:pPr>
    </w:p>
    <w:p w:rsidR="00E141F7" w:rsidRDefault="00E141F7" w:rsidP="009642C2">
      <w:pPr>
        <w:autoSpaceDE w:val="0"/>
        <w:autoSpaceDN w:val="0"/>
        <w:adjustRightInd w:val="0"/>
        <w:spacing w:after="0" w:line="240" w:lineRule="auto"/>
        <w:jc w:val="both"/>
        <w:rPr>
          <w:b/>
        </w:rPr>
      </w:pPr>
    </w:p>
    <w:p w:rsidR="009642C2" w:rsidRDefault="009642C2" w:rsidP="009642C2">
      <w:pPr>
        <w:autoSpaceDE w:val="0"/>
        <w:autoSpaceDN w:val="0"/>
        <w:adjustRightInd w:val="0"/>
        <w:spacing w:after="0" w:line="240" w:lineRule="auto"/>
        <w:jc w:val="both"/>
        <w:rPr>
          <w:b/>
        </w:rPr>
      </w:pPr>
      <w:r w:rsidRPr="00924407">
        <w:rPr>
          <w:b/>
        </w:rPr>
        <w:lastRenderedPageBreak/>
        <w:t>Küresel Ekonomik Göstergeler</w:t>
      </w:r>
      <w:r>
        <w:rPr>
          <w:b/>
        </w:rPr>
        <w:t xml:space="preserve"> </w:t>
      </w:r>
    </w:p>
    <w:p w:rsidR="00525EB5" w:rsidRPr="00924407" w:rsidRDefault="00525EB5" w:rsidP="009642C2">
      <w:pPr>
        <w:autoSpaceDE w:val="0"/>
        <w:autoSpaceDN w:val="0"/>
        <w:adjustRightInd w:val="0"/>
        <w:spacing w:after="0" w:line="240" w:lineRule="auto"/>
        <w:jc w:val="both"/>
        <w:rPr>
          <w:b/>
        </w:rPr>
      </w:pPr>
    </w:p>
    <w:p w:rsidR="009642C2" w:rsidRPr="00523019" w:rsidRDefault="00525EB5" w:rsidP="009642C2">
      <w:pPr>
        <w:autoSpaceDE w:val="0"/>
        <w:autoSpaceDN w:val="0"/>
        <w:adjustRightInd w:val="0"/>
        <w:spacing w:after="0" w:line="240" w:lineRule="auto"/>
        <w:jc w:val="both"/>
        <w:rPr>
          <w:b/>
        </w:rPr>
      </w:pPr>
      <w:r w:rsidRPr="00525EB5">
        <w:rPr>
          <w:noProof/>
        </w:rPr>
        <w:drawing>
          <wp:inline distT="0" distB="0" distL="0" distR="0">
            <wp:extent cx="5760720" cy="293232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2932325"/>
                    </a:xfrm>
                    <a:prstGeom prst="rect">
                      <a:avLst/>
                    </a:prstGeom>
                    <a:noFill/>
                    <a:ln w="9525">
                      <a:noFill/>
                      <a:miter lim="800000"/>
                      <a:headEnd/>
                      <a:tailEnd/>
                    </a:ln>
                  </pic:spPr>
                </pic:pic>
              </a:graphicData>
            </a:graphic>
          </wp:inline>
        </w:drawing>
      </w:r>
    </w:p>
    <w:p w:rsidR="00FD0A25" w:rsidRDefault="00FD0A25" w:rsidP="00FD0A25">
      <w:pPr>
        <w:autoSpaceDE w:val="0"/>
        <w:autoSpaceDN w:val="0"/>
        <w:adjustRightInd w:val="0"/>
        <w:spacing w:after="0" w:line="240" w:lineRule="auto"/>
        <w:jc w:val="both"/>
      </w:pPr>
    </w:p>
    <w:p w:rsidR="00467B1D" w:rsidRDefault="00F46ED1" w:rsidP="00F46ED1">
      <w:pPr>
        <w:autoSpaceDE w:val="0"/>
        <w:autoSpaceDN w:val="0"/>
        <w:adjustRightInd w:val="0"/>
        <w:spacing w:after="0" w:line="240" w:lineRule="auto"/>
        <w:jc w:val="both"/>
      </w:pPr>
      <w:r>
        <w:t>T</w:t>
      </w:r>
      <w:r w:rsidRPr="00565D4A">
        <w:t xml:space="preserve">abloda </w:t>
      </w:r>
      <w:r>
        <w:t>yer alan ve dünya piyasalarında stres göstergesi olarak kabul edilen Volatilite Endeksi (VIX), yılbaşında küresel durgunluk senaryolarının çok yüksek olması nedeniyle 2019 yılına yüksek değerle başlamıştı</w:t>
      </w:r>
      <w:r w:rsidR="00467B1D">
        <w:t>r</w:t>
      </w:r>
      <w:r>
        <w:t xml:space="preserve">. Dolayısıyla endeks, yılbaşından bu yana düşüş göstermiş olmasına karşın özellikle Ağustos - Eylül döneminde yaşanan siyasi ve jeopolitik risklerdeki artıştan olumsuz etkilenmiştir. Son 1 ve 2 yıllık değişim izlendiğinde ise endekste sırasıyla %34 ve %70 oranlarındaki yükselişler dikkat çekmiştir. </w:t>
      </w:r>
    </w:p>
    <w:p w:rsidR="00EC1A39" w:rsidRDefault="00EC1A39" w:rsidP="00F46ED1">
      <w:pPr>
        <w:autoSpaceDE w:val="0"/>
        <w:autoSpaceDN w:val="0"/>
        <w:adjustRightInd w:val="0"/>
        <w:spacing w:after="0" w:line="240" w:lineRule="auto"/>
        <w:jc w:val="both"/>
      </w:pPr>
    </w:p>
    <w:p w:rsidR="00F46ED1" w:rsidRDefault="00F46ED1" w:rsidP="00F46ED1">
      <w:pPr>
        <w:autoSpaceDE w:val="0"/>
        <w:autoSpaceDN w:val="0"/>
        <w:adjustRightInd w:val="0"/>
        <w:spacing w:after="0" w:line="240" w:lineRule="auto"/>
        <w:jc w:val="both"/>
      </w:pPr>
      <w:r>
        <w:t xml:space="preserve">ABD Doları’nın tüm dünyadaki değerine işaret eden Dolar Endeksi (DXY) ise, küresel büyüme endişeleri geçtiğimiz dönem piyasalarda öne çıkan para birimlerini baskı altına alsa da “güçlü ABD Doları”nın varlığını koruduğunu göstermiştir. </w:t>
      </w:r>
      <w:r w:rsidR="00EC1A39">
        <w:t>Çizilen k</w:t>
      </w:r>
      <w:r>
        <w:t>üresel durgunluk senaryolarında da “güvenli liman” Dolar’da fazla değer kaybı beklenmemektedir.</w:t>
      </w:r>
      <w:r w:rsidRPr="003C0E15">
        <w:t xml:space="preserve"> </w:t>
      </w:r>
      <w:r>
        <w:t xml:space="preserve">Euro/Dolar </w:t>
      </w:r>
      <w:proofErr w:type="gramStart"/>
      <w:r>
        <w:t>paritesi</w:t>
      </w:r>
      <w:proofErr w:type="gramEnd"/>
      <w:r>
        <w:t xml:space="preserve"> ise </w:t>
      </w:r>
      <w:r w:rsidRPr="003C0E15">
        <w:t>büyüme farklarının ABD</w:t>
      </w:r>
      <w:r>
        <w:t xml:space="preserve">’nin lehine olması </w:t>
      </w:r>
      <w:r w:rsidRPr="003C0E15">
        <w:t xml:space="preserve">ve Euro Bölgesi’nde ekonomik aktivitenin daha </w:t>
      </w:r>
      <w:r>
        <w:t>da yavaşlayabileceği endişeleriyle</w:t>
      </w:r>
      <w:r w:rsidRPr="003C0E15">
        <w:t xml:space="preserve"> </w:t>
      </w:r>
      <w:r>
        <w:t>düşmektedir.</w:t>
      </w:r>
    </w:p>
    <w:p w:rsidR="001879B9" w:rsidRDefault="001879B9" w:rsidP="00F46ED1">
      <w:pPr>
        <w:autoSpaceDE w:val="0"/>
        <w:autoSpaceDN w:val="0"/>
        <w:adjustRightInd w:val="0"/>
        <w:spacing w:after="0" w:line="240" w:lineRule="auto"/>
        <w:jc w:val="both"/>
      </w:pPr>
    </w:p>
    <w:p w:rsidR="005A246C" w:rsidRDefault="007829DB" w:rsidP="00FD0A25">
      <w:pPr>
        <w:autoSpaceDE w:val="0"/>
        <w:autoSpaceDN w:val="0"/>
        <w:adjustRightInd w:val="0"/>
        <w:spacing w:after="0" w:line="240" w:lineRule="auto"/>
        <w:jc w:val="both"/>
      </w:pPr>
      <w:r>
        <w:t>Hisse senedi piyasalarına</w:t>
      </w:r>
      <w:r w:rsidR="00FD0A25">
        <w:t xml:space="preserve"> </w:t>
      </w:r>
      <w:r w:rsidR="009425DB">
        <w:t>ilişkin görünümü ortaya koyan</w:t>
      </w:r>
      <w:r w:rsidR="00FD0A25">
        <w:t xml:space="preserve"> MSCI Dünya, Türkiye ve Gelişmekte Olan</w:t>
      </w:r>
      <w:r w:rsidR="009425DB">
        <w:t xml:space="preserve"> Ülkeler e</w:t>
      </w:r>
      <w:r w:rsidR="00FD0A25">
        <w:t>ndekslerinde yılbaşından bu yana izlenen öne çıkan gelişme</w:t>
      </w:r>
      <w:r w:rsidR="00EC1A39">
        <w:t>,</w:t>
      </w:r>
      <w:r w:rsidR="00FD0A25">
        <w:t xml:space="preserve"> önceki aylarda </w:t>
      </w:r>
      <w:r w:rsidR="00EC1A39">
        <w:t xml:space="preserve">GOÜ varlıkları arasında TL varlıklarında </w:t>
      </w:r>
      <w:r w:rsidR="00FD0A25">
        <w:t xml:space="preserve">görülen negatif ayrışmanın tersine dönmüş olmasıdır. Bu dönemde MSCI GOÜ Endeksi’nde %4,7’lik sınırlı bir toparlanma yaşanırken, MSCI Türkiye Endeksi (%14,7 oranındaki MSCI </w:t>
      </w:r>
      <w:r w:rsidR="009425DB">
        <w:t>D</w:t>
      </w:r>
      <w:r w:rsidR="00FD0A25">
        <w:t xml:space="preserve">ünya Endeksi’nin üzerinde) %18 oranında artmıştır. </w:t>
      </w:r>
      <w:proofErr w:type="spellStart"/>
      <w:r w:rsidR="005A246C">
        <w:t>GOÜ’lerdeki</w:t>
      </w:r>
      <w:proofErr w:type="spellEnd"/>
      <w:r w:rsidR="005A246C">
        <w:t xml:space="preserve"> görünümün geleceği için ekonomistler</w:t>
      </w:r>
      <w:r w:rsidR="00EC1A39">
        <w:t>,</w:t>
      </w:r>
      <w:r w:rsidR="005A246C">
        <w:t xml:space="preserve"> “dip seviyenin görüldüğü ve artık dipten dönüşün başlayabileceği” görüşünü dile getir</w:t>
      </w:r>
      <w:r>
        <w:t>mektedir.</w:t>
      </w:r>
    </w:p>
    <w:p w:rsidR="004B6E8F" w:rsidRDefault="004B6E8F" w:rsidP="004F5D6B">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FB6DD6">
        <w:t>Dünya ekonomisinde</w:t>
      </w:r>
      <w:r w:rsidR="00EC1A39">
        <w:t>ki</w:t>
      </w:r>
      <w:r w:rsidRPr="00FB6DD6">
        <w:t xml:space="preserve"> mevcut tablo, küreselleşmenin hızla yavaşladı</w:t>
      </w:r>
      <w:r w:rsidR="00EC1A39">
        <w:t>ğına ve yol açtığı problemlere</w:t>
      </w:r>
      <w:r w:rsidRPr="00FB6DD6">
        <w:t xml:space="preserve"> </w:t>
      </w:r>
      <w:r w:rsidR="00157443">
        <w:t xml:space="preserve">mevcut araçlarla </w:t>
      </w:r>
      <w:r w:rsidRPr="00FB6DD6">
        <w:t>çözüm bul</w:t>
      </w:r>
      <w:r w:rsidR="00BA2843">
        <w:t>un</w:t>
      </w:r>
      <w:r w:rsidRPr="00FB6DD6">
        <w:t xml:space="preserve">amadığına işaret etmektedir. </w:t>
      </w:r>
      <w:r w:rsidR="00EC1A39">
        <w:t xml:space="preserve">Bu kapsamda </w:t>
      </w:r>
      <w:r w:rsidRPr="00FB6DD6">
        <w:t xml:space="preserve">Birleşmiş Milletler Ticaret ve Kalkınma Örgütü’nün (UNCTAD) küresel yatırımların son 9 yılın en düşük seviyesine gerilediğine dair açıklaması dikkat çekmiş, küresel </w:t>
      </w:r>
      <w:proofErr w:type="gramStart"/>
      <w:r w:rsidRPr="00FB6DD6">
        <w:t>bazdaki</w:t>
      </w:r>
      <w:proofErr w:type="gramEnd"/>
      <w:r w:rsidRPr="00FB6DD6">
        <w:t xml:space="preserve"> doğrudan yabancı yatırım </w:t>
      </w:r>
      <w:r>
        <w:t>tutarının</w:t>
      </w:r>
      <w:r w:rsidRPr="00FB6DD6">
        <w:t xml:space="preserve"> 2015</w:t>
      </w:r>
      <w:r>
        <w:t xml:space="preserve"> - 2018 döneminde </w:t>
      </w:r>
      <w:r w:rsidRPr="00FB6DD6">
        <w:t>düşüş eğilimi gösterdiği görülmüştür.</w:t>
      </w:r>
      <w:r>
        <w:t xml:space="preserve"> </w:t>
      </w:r>
    </w:p>
    <w:p w:rsidR="009642C2"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t xml:space="preserve">Piyasa ekonomilerinin egemen olduğu büyük devletlerin ortak sorunlarla ilgilenmesi amacıyla oluşturulmuş olan </w:t>
      </w:r>
      <w:r w:rsidRPr="00F53664">
        <w:t>G7</w:t>
      </w:r>
      <w:r>
        <w:t xml:space="preserve"> (A</w:t>
      </w:r>
      <w:r w:rsidRPr="009901FA">
        <w:t>BD, Fransa, Almanya, İngiltere, İtalya, Japonya ve Kanada</w:t>
      </w:r>
      <w:r>
        <w:t xml:space="preserve">) platformu </w:t>
      </w:r>
      <w:r w:rsidR="00EC1A39">
        <w:t>da</w:t>
      </w:r>
      <w:r>
        <w:t xml:space="preserve"> küresel sorunlara çözüm bulmaktan uzak görünümünü korumuş; ABD’nin daha önceleri oynamakta </w:t>
      </w:r>
      <w:r>
        <w:lastRenderedPageBreak/>
        <w:t xml:space="preserve">olduğu yönlendirici rolün aşınarak uluslararası alandaki belirsizlikleri yoğunlaştırdığı değerlendirilmiştir. </w:t>
      </w:r>
    </w:p>
    <w:p w:rsidR="009642C2" w:rsidRDefault="009642C2" w:rsidP="009642C2">
      <w:pPr>
        <w:autoSpaceDE w:val="0"/>
        <w:autoSpaceDN w:val="0"/>
        <w:adjustRightInd w:val="0"/>
        <w:spacing w:after="0" w:line="240" w:lineRule="auto"/>
        <w:jc w:val="both"/>
      </w:pPr>
    </w:p>
    <w:p w:rsidR="009642C2" w:rsidRDefault="00A66AA6" w:rsidP="009642C2">
      <w:pPr>
        <w:autoSpaceDE w:val="0"/>
        <w:autoSpaceDN w:val="0"/>
        <w:adjustRightInd w:val="0"/>
        <w:spacing w:after="0" w:line="240" w:lineRule="auto"/>
        <w:jc w:val="both"/>
      </w:pPr>
      <w:r>
        <w:t xml:space="preserve">Ayrıca </w:t>
      </w:r>
      <w:r w:rsidR="009642C2">
        <w:t xml:space="preserve">ABD ile Çin arasındaki çatışmanın diğer bir cephesi olan teknoloji alanında, ülkeler için </w:t>
      </w:r>
      <w:r w:rsidR="009642C2" w:rsidRPr="00121417">
        <w:t>dijital uçurum</w:t>
      </w:r>
      <w:r w:rsidR="009642C2">
        <w:t xml:space="preserve">un arttığı yeni </w:t>
      </w:r>
      <w:r w:rsidR="00EC1A39">
        <w:t xml:space="preserve">bir </w:t>
      </w:r>
      <w:r w:rsidR="009642C2">
        <w:t xml:space="preserve">tablo söz konusudur. Bu konudaki küresel eşitsizliğin azaltılması için özellikle </w:t>
      </w:r>
      <w:proofErr w:type="spellStart"/>
      <w:r w:rsidR="009642C2" w:rsidRPr="00893550">
        <w:t>GOÜ’leri</w:t>
      </w:r>
      <w:proofErr w:type="spellEnd"/>
      <w:r w:rsidR="009642C2" w:rsidRPr="00893550">
        <w:t xml:space="preserve"> de kapsayan uluslararası işbirliği ve diyalog</w:t>
      </w:r>
      <w:r w:rsidR="009642C2">
        <w:t xml:space="preserve">a duyulan ihtiyaç dile getirilmektedir. </w:t>
      </w:r>
    </w:p>
    <w:p w:rsidR="00F46ED1" w:rsidRDefault="00F46ED1" w:rsidP="009642C2">
      <w:pPr>
        <w:autoSpaceDE w:val="0"/>
        <w:autoSpaceDN w:val="0"/>
        <w:adjustRightInd w:val="0"/>
        <w:spacing w:after="0" w:line="240" w:lineRule="auto"/>
        <w:jc w:val="both"/>
      </w:pPr>
    </w:p>
    <w:p w:rsidR="009642C2" w:rsidRPr="009448CC" w:rsidRDefault="00A66AA6" w:rsidP="009642C2">
      <w:pPr>
        <w:autoSpaceDE w:val="0"/>
        <w:autoSpaceDN w:val="0"/>
        <w:adjustRightInd w:val="0"/>
        <w:spacing w:after="0" w:line="240" w:lineRule="auto"/>
        <w:jc w:val="both"/>
      </w:pPr>
      <w:r>
        <w:t>M</w:t>
      </w:r>
      <w:r w:rsidR="009642C2" w:rsidRPr="009448CC">
        <w:t>evcut sistemin en önemli krizi olan ve Amazon ormanları yangınıyla faturanın ağırlaştığı Küresel İklim Krizi</w:t>
      </w:r>
      <w:r>
        <w:t xml:space="preserve"> ise</w:t>
      </w:r>
      <w:r w:rsidR="009642C2" w:rsidRPr="009448CC">
        <w:t xml:space="preserve"> genç </w:t>
      </w:r>
      <w:proofErr w:type="spellStart"/>
      <w:r w:rsidR="009642C2" w:rsidRPr="009448CC">
        <w:t>aktivist</w:t>
      </w:r>
      <w:proofErr w:type="spellEnd"/>
      <w:r w:rsidR="009642C2" w:rsidRPr="009448CC">
        <w:t xml:space="preserve"> </w:t>
      </w:r>
      <w:proofErr w:type="spellStart"/>
      <w:r w:rsidR="009642C2" w:rsidRPr="009448CC">
        <w:t>Greta</w:t>
      </w:r>
      <w:proofErr w:type="spellEnd"/>
      <w:r w:rsidR="009642C2" w:rsidRPr="009448CC">
        <w:t xml:space="preserve"> </w:t>
      </w:r>
      <w:proofErr w:type="spellStart"/>
      <w:r w:rsidR="009642C2" w:rsidRPr="009448CC">
        <w:t>Thunberg’in</w:t>
      </w:r>
      <w:proofErr w:type="spellEnd"/>
      <w:r w:rsidR="009642C2" w:rsidRPr="009448CC">
        <w:t xml:space="preserve"> liderliğindeki protestolarla geçtiğimiz dönemde çok sayıda ülkenin gündemine taşınmıştır. Birleşmiş Milletler (BM), </w:t>
      </w:r>
      <w:r>
        <w:t>b</w:t>
      </w:r>
      <w:r w:rsidRPr="009448CC">
        <w:t xml:space="preserve">u gündemden hareketle </w:t>
      </w:r>
      <w:r w:rsidR="009642C2" w:rsidRPr="009448CC">
        <w:t xml:space="preserve">ülkeleri iklim değişikliği ile mücadele konusundaki somut çevre yatırımı hedeflerini ortaya koymak üzere İklim Hareketi Zirvesi’ne davet etmiştir. </w:t>
      </w:r>
      <w:proofErr w:type="gramStart"/>
      <w:r w:rsidR="009642C2" w:rsidRPr="009448CC">
        <w:t xml:space="preserve">Eylül ayında yapılan zirvede karbon </w:t>
      </w:r>
      <w:proofErr w:type="spellStart"/>
      <w:r w:rsidR="009642C2" w:rsidRPr="009448CC">
        <w:t>salınımının</w:t>
      </w:r>
      <w:proofErr w:type="spellEnd"/>
      <w:r w:rsidR="009642C2" w:rsidRPr="009448CC">
        <w:t xml:space="preserve"> bir numaralı sorumlusu olarak gösterilen Çin iklim değişikliğ</w:t>
      </w:r>
      <w:r>
        <w:t>i vaatlerini uygulama sözü vermiş</w:t>
      </w:r>
      <w:r w:rsidR="009642C2" w:rsidRPr="009448CC">
        <w:t xml:space="preserve">; konuşmasına "Gençlerin 'uyanın' çağrısını duyduk” diye başlayan Almanya Başbakanı </w:t>
      </w:r>
      <w:proofErr w:type="spellStart"/>
      <w:r w:rsidR="009642C2" w:rsidRPr="009448CC">
        <w:t>Angela</w:t>
      </w:r>
      <w:proofErr w:type="spellEnd"/>
      <w:r w:rsidR="009642C2" w:rsidRPr="009448CC">
        <w:t xml:space="preserve"> </w:t>
      </w:r>
      <w:proofErr w:type="spellStart"/>
      <w:r w:rsidR="009642C2" w:rsidRPr="009448CC">
        <w:t>Merkel</w:t>
      </w:r>
      <w:proofErr w:type="spellEnd"/>
      <w:r w:rsidR="009642C2" w:rsidRPr="009448CC">
        <w:t xml:space="preserve"> "Sanayileşmiş ülkeler, küresel ısınmanın ana sebebi; gelişmekte olan ülkeler ise mağdurudur” sözleriyle gelişmiş ekonomilere yenilikçi teknoloji ve kaynak sağlama çağrısında bulunmuştur.</w:t>
      </w:r>
      <w:proofErr w:type="gramEnd"/>
    </w:p>
    <w:p w:rsidR="009642C2" w:rsidRDefault="009642C2" w:rsidP="009642C2">
      <w:pPr>
        <w:autoSpaceDE w:val="0"/>
        <w:autoSpaceDN w:val="0"/>
        <w:adjustRightInd w:val="0"/>
        <w:spacing w:after="0" w:line="240" w:lineRule="auto"/>
        <w:jc w:val="both"/>
        <w:rPr>
          <w:highlight w:val="green"/>
        </w:rPr>
      </w:pPr>
    </w:p>
    <w:p w:rsidR="009642C2" w:rsidRPr="00924407" w:rsidRDefault="009642C2" w:rsidP="009642C2">
      <w:pPr>
        <w:pStyle w:val="NormalWeb"/>
        <w:spacing w:before="0" w:beforeAutospacing="0" w:after="0" w:afterAutospacing="0" w:line="270" w:lineRule="atLeast"/>
        <w:rPr>
          <w:rFonts w:asciiTheme="minorHAnsi" w:hAnsiTheme="minorHAnsi" w:cstheme="minorHAnsi"/>
          <w:b/>
          <w:i/>
          <w:color w:val="632423"/>
        </w:rPr>
      </w:pPr>
      <w:r w:rsidRPr="00924407">
        <w:rPr>
          <w:rFonts w:asciiTheme="minorHAnsi" w:hAnsiTheme="minorHAnsi" w:cstheme="minorHAnsi"/>
          <w:b/>
          <w:color w:val="632423"/>
        </w:rPr>
        <w:t xml:space="preserve">ABD </w:t>
      </w:r>
      <w:r w:rsidRPr="00924407">
        <w:rPr>
          <w:rFonts w:asciiTheme="minorHAnsi" w:hAnsiTheme="minorHAnsi" w:cstheme="minorHAnsi"/>
          <w:b/>
          <w:i/>
          <w:color w:val="FF0000"/>
          <w:sz w:val="22"/>
          <w:szCs w:val="22"/>
        </w:rPr>
        <w:tab/>
      </w:r>
      <w:r w:rsidRPr="00924407">
        <w:rPr>
          <w:rFonts w:asciiTheme="minorHAnsi" w:hAnsiTheme="minorHAnsi" w:cstheme="minorHAnsi"/>
          <w:b/>
          <w:i/>
          <w:color w:val="FF0000"/>
          <w:sz w:val="22"/>
          <w:szCs w:val="22"/>
        </w:rPr>
        <w:tab/>
      </w:r>
      <w:r w:rsidRPr="00924407">
        <w:rPr>
          <w:rFonts w:asciiTheme="minorHAnsi" w:hAnsiTheme="minorHAnsi" w:cstheme="minorHAnsi"/>
          <w:b/>
          <w:i/>
          <w:color w:val="FF0000"/>
          <w:sz w:val="22"/>
          <w:szCs w:val="22"/>
        </w:rPr>
        <w:tab/>
      </w:r>
      <w:r w:rsidRPr="00924407">
        <w:rPr>
          <w:rFonts w:asciiTheme="minorHAnsi" w:hAnsiTheme="minorHAnsi" w:cstheme="minorHAnsi"/>
          <w:b/>
          <w:i/>
          <w:color w:val="FF0000"/>
          <w:sz w:val="22"/>
          <w:szCs w:val="22"/>
        </w:rPr>
        <w:tab/>
      </w:r>
      <w:r w:rsidRPr="00924407">
        <w:rPr>
          <w:rFonts w:asciiTheme="minorHAnsi" w:hAnsiTheme="minorHAnsi" w:cstheme="minorHAnsi"/>
          <w:b/>
          <w:i/>
          <w:color w:val="FF0000"/>
          <w:sz w:val="22"/>
          <w:szCs w:val="22"/>
        </w:rPr>
        <w:tab/>
      </w:r>
      <w:r>
        <w:rPr>
          <w:rFonts w:asciiTheme="minorHAnsi" w:hAnsiTheme="minorHAnsi" w:cstheme="minorHAnsi"/>
          <w:b/>
          <w:i/>
          <w:color w:val="632423"/>
        </w:rPr>
        <w:t xml:space="preserve">                       Tahvil getirilerinde değişim endişe kaynağı</w:t>
      </w:r>
    </w:p>
    <w:p w:rsidR="009642C2"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9448CC">
        <w:t>Uzun soluklu büyüme patikasından geçmekte olan ABD ekonomisi</w:t>
      </w:r>
      <w:r w:rsidR="00F87CDD">
        <w:t xml:space="preserve">, </w:t>
      </w:r>
      <w:r w:rsidRPr="009448CC">
        <w:t xml:space="preserve">2019 yılının ikinci çeyreği itibariyle </w:t>
      </w:r>
      <w:r w:rsidR="00F07E0E" w:rsidRPr="009448CC">
        <w:t xml:space="preserve">  </w:t>
      </w:r>
      <w:r w:rsidRPr="009448CC">
        <w:t xml:space="preserve">%2 </w:t>
      </w:r>
      <w:r w:rsidR="00F07E0E" w:rsidRPr="009448CC">
        <w:t xml:space="preserve">oranındaki </w:t>
      </w:r>
      <w:r w:rsidRPr="009448CC">
        <w:t>ılımlı büyümesin</w:t>
      </w:r>
      <w:r w:rsidR="00F07E0E" w:rsidRPr="009448CC">
        <w:t xml:space="preserve">i sürdürmektedir. </w:t>
      </w:r>
      <w:r w:rsidRPr="009448CC">
        <w:t>Ülkede</w:t>
      </w:r>
      <w:r w:rsidRPr="00D93674">
        <w:t xml:space="preserve"> </w:t>
      </w:r>
      <w:r>
        <w:t>i</w:t>
      </w:r>
      <w:r w:rsidRPr="0050302D">
        <w:t xml:space="preserve">şsizlik oranı </w:t>
      </w:r>
      <w:r>
        <w:t>%3,</w:t>
      </w:r>
      <w:r w:rsidRPr="0050302D">
        <w:t>7</w:t>
      </w:r>
      <w:r>
        <w:t xml:space="preserve">’ye gerilerken, </w:t>
      </w:r>
      <w:r w:rsidR="00F07E0E">
        <w:t xml:space="preserve">güçlü </w:t>
      </w:r>
      <w:r w:rsidRPr="00D93DCE">
        <w:t>tüketici harcamaları</w:t>
      </w:r>
      <w:r w:rsidR="006E7F12">
        <w:t>na rağmen</w:t>
      </w:r>
      <w:r w:rsidR="00F07E0E">
        <w:t xml:space="preserve"> </w:t>
      </w:r>
      <w:r w:rsidRPr="00D93DCE">
        <w:t>imalat sektöründeki daralmanın</w:t>
      </w:r>
      <w:r>
        <w:t xml:space="preserve"> </w:t>
      </w:r>
      <w:r w:rsidRPr="00D93DCE">
        <w:t>istihdam kaybına ve ekon</w:t>
      </w:r>
      <w:r>
        <w:t>omide zayıflığa yol açabileceğinden endişe edilmektedir.</w:t>
      </w:r>
      <w:r w:rsidR="00053E4B">
        <w:t xml:space="preserve"> Eylül ayında</w:t>
      </w:r>
      <w:r>
        <w:t xml:space="preserve"> İmalat PMI </w:t>
      </w:r>
      <w:r w:rsidR="00254F78">
        <w:t>(Satın Alma Yöneticileri) E</w:t>
      </w:r>
      <w:r>
        <w:t>ndeksi</w:t>
      </w:r>
      <w:r w:rsidR="00254F78">
        <w:t>’</w:t>
      </w:r>
      <w:r>
        <w:t>n</w:t>
      </w:r>
      <w:r w:rsidR="00053E4B">
        <w:t>in 49,1'den 47,</w:t>
      </w:r>
      <w:r w:rsidR="00053E4B" w:rsidRPr="00053E4B">
        <w:t>8'e gerile</w:t>
      </w:r>
      <w:r w:rsidR="00053E4B">
        <w:t>mesinde</w:t>
      </w:r>
      <w:r w:rsidR="00F07E0E">
        <w:t>,</w:t>
      </w:r>
      <w:r>
        <w:t xml:space="preserve"> ihracat siparişlerinin son 10 yılın en düşük düzeyine inmesi</w:t>
      </w:r>
      <w:r w:rsidR="00F07E0E">
        <w:t xml:space="preserve"> ve geleceğe yönelik </w:t>
      </w:r>
      <w:r>
        <w:t>beklentilerin bozulma</w:t>
      </w:r>
      <w:r w:rsidR="00F07E0E">
        <w:t xml:space="preserve">sı </w:t>
      </w:r>
      <w:r>
        <w:t xml:space="preserve">belirleyici olmuştur. </w:t>
      </w:r>
      <w:r w:rsidRPr="008B001F">
        <w:t>ABD Hazine tahvillerinde ekonominin gidişatı hakkında önemli bir gösterge sayılan “verim eğrisinin”</w:t>
      </w:r>
      <w:r>
        <w:t xml:space="preserve"> </w:t>
      </w:r>
      <w:r w:rsidRPr="008B001F">
        <w:t>tersine dön</w:t>
      </w:r>
      <w:r w:rsidR="00F87CDD">
        <w:t>erek</w:t>
      </w:r>
      <w:r>
        <w:t xml:space="preserve"> 2 yıllık tahvil faizlerinin 10 yıllıkların üzerine çıkması </w:t>
      </w:r>
      <w:proofErr w:type="gramStart"/>
      <w:r>
        <w:t>resesyon</w:t>
      </w:r>
      <w:proofErr w:type="gramEnd"/>
      <w:r>
        <w:t xml:space="preserve"> tartışmalarına neden olmaktadır.</w:t>
      </w:r>
    </w:p>
    <w:p w:rsidR="009642C2" w:rsidRDefault="009642C2" w:rsidP="009642C2">
      <w:pPr>
        <w:autoSpaceDE w:val="0"/>
        <w:autoSpaceDN w:val="0"/>
        <w:adjustRightInd w:val="0"/>
        <w:spacing w:after="0" w:line="240" w:lineRule="auto"/>
        <w:jc w:val="both"/>
        <w:rPr>
          <w:highlight w:val="yellow"/>
        </w:rPr>
      </w:pPr>
    </w:p>
    <w:p w:rsidR="009642C2" w:rsidRDefault="009642C2" w:rsidP="009642C2">
      <w:pPr>
        <w:autoSpaceDE w:val="0"/>
        <w:autoSpaceDN w:val="0"/>
        <w:adjustRightInd w:val="0"/>
        <w:spacing w:after="0" w:line="240" w:lineRule="auto"/>
        <w:jc w:val="both"/>
      </w:pPr>
      <w:r w:rsidRPr="00CD37E1">
        <w:t>FED, 31 Temmuz tarihli toplantısınd</w:t>
      </w:r>
      <w:r w:rsidR="00F87CDD">
        <w:t>a, 11 yıldan sonra ilk kez</w:t>
      </w:r>
      <w:r w:rsidRPr="00CD37E1">
        <w:t xml:space="preserve"> </w:t>
      </w:r>
      <w:r w:rsidR="00F87CDD">
        <w:t>faiz indirmiş ve</w:t>
      </w:r>
      <w:r>
        <w:t xml:space="preserve"> bila</w:t>
      </w:r>
      <w:r w:rsidR="00F87CDD">
        <w:t xml:space="preserve">nço küçültme operasyonlarını </w:t>
      </w:r>
      <w:r>
        <w:t xml:space="preserve">Ağustos ayı itibariyle sonlandıracağını açıklamıştır. </w:t>
      </w:r>
      <w:proofErr w:type="spellStart"/>
      <w:r>
        <w:t>FED’in</w:t>
      </w:r>
      <w:proofErr w:type="spellEnd"/>
      <w:r>
        <w:t xml:space="preserve"> </w:t>
      </w:r>
      <w:r w:rsidR="00F07E0E">
        <w:t xml:space="preserve">18 Eylül 2019 tarihinde gerçekleştirdiği </w:t>
      </w:r>
      <w:r>
        <w:t>bir sonraki</w:t>
      </w:r>
      <w:r w:rsidR="00F07E0E">
        <w:t xml:space="preserve"> </w:t>
      </w:r>
      <w:r>
        <w:t xml:space="preserve">toplantısında </w:t>
      </w:r>
      <w:r w:rsidR="00F87CDD">
        <w:t>da</w:t>
      </w:r>
      <w:r>
        <w:t xml:space="preserve"> beklentilere paralel olarak </w:t>
      </w:r>
      <w:r w:rsidR="00F87CDD">
        <w:t xml:space="preserve">yine </w:t>
      </w:r>
      <w:r>
        <w:t xml:space="preserve">25 </w:t>
      </w:r>
      <w:proofErr w:type="gramStart"/>
      <w:r>
        <w:t>baz</w:t>
      </w:r>
      <w:proofErr w:type="gramEnd"/>
      <w:r>
        <w:t xml:space="preserve"> puanlık</w:t>
      </w:r>
      <w:r w:rsidR="00F87CDD">
        <w:t xml:space="preserve"> </w:t>
      </w:r>
      <w:r>
        <w:t>faiz indirimi kararı alması</w:t>
      </w:r>
      <w:r w:rsidR="00F87CDD">
        <w:t xml:space="preserve">yla </w:t>
      </w:r>
      <w:r>
        <w:t xml:space="preserve">Banka’nın </w:t>
      </w:r>
      <w:proofErr w:type="spellStart"/>
      <w:r w:rsidRPr="007F5C60">
        <w:t>fonlama</w:t>
      </w:r>
      <w:proofErr w:type="spellEnd"/>
      <w:r w:rsidRPr="007F5C60">
        <w:t xml:space="preserve"> faizi </w:t>
      </w:r>
      <w:r>
        <w:t xml:space="preserve">%1,75 </w:t>
      </w:r>
      <w:r w:rsidRPr="00CD37E1">
        <w:t xml:space="preserve">- </w:t>
      </w:r>
      <w:r>
        <w:t xml:space="preserve"> 2,</w:t>
      </w:r>
      <w:r w:rsidRPr="007F5C60">
        <w:t>00 aralığına in</w:t>
      </w:r>
      <w:r>
        <w:t xml:space="preserve">miştir. </w:t>
      </w:r>
      <w:r w:rsidR="00F87CDD">
        <w:t xml:space="preserve">FED Başkanı </w:t>
      </w:r>
      <w:proofErr w:type="spellStart"/>
      <w:r w:rsidR="00F87CDD">
        <w:t>Powell</w:t>
      </w:r>
      <w:proofErr w:type="spellEnd"/>
      <w:r w:rsidR="00F87CDD">
        <w:t>, t</w:t>
      </w:r>
      <w:r>
        <w:t>oplant</w:t>
      </w:r>
      <w:r w:rsidR="00F87CDD">
        <w:t>ının ardından yaptığı konuşmada, kararın</w:t>
      </w:r>
      <w:r>
        <w:t xml:space="preserve"> r</w:t>
      </w:r>
      <w:r w:rsidRPr="009E217F">
        <w:t>isklere karşı sigorta sağlama</w:t>
      </w:r>
      <w:r w:rsidR="00F87CDD">
        <w:t xml:space="preserve">yı amaçladığını kaydetmiştir. </w:t>
      </w:r>
      <w:proofErr w:type="spellStart"/>
      <w:r w:rsidR="00F87CDD">
        <w:t>Powell</w:t>
      </w:r>
      <w:proofErr w:type="spellEnd"/>
      <w:r w:rsidR="00F87CDD">
        <w:t>,</w:t>
      </w:r>
      <w:r>
        <w:t xml:space="preserve"> ticaret gelişmelerinin </w:t>
      </w:r>
      <w:r w:rsidRPr="00D93674">
        <w:t>oldukça oy</w:t>
      </w:r>
      <w:r>
        <w:t>nak seyrettiği</w:t>
      </w:r>
      <w:r w:rsidR="00F87CDD">
        <w:t>ni</w:t>
      </w:r>
      <w:r>
        <w:t>, j</w:t>
      </w:r>
      <w:r w:rsidRPr="00D93674">
        <w:t>eopolitik gelişmelerin son 90 gün içinde belirsizlikleri artırdığını</w:t>
      </w:r>
      <w:r>
        <w:t xml:space="preserve"> ve </w:t>
      </w:r>
      <w:r w:rsidRPr="00D93674">
        <w:t>risk görünümündeki gelişmelere göre hareket e</w:t>
      </w:r>
      <w:r>
        <w:t>tmeyi sürdüreceklerini belirtmiş</w:t>
      </w:r>
      <w:r w:rsidR="00F87CDD">
        <w:t xml:space="preserve"> ve </w:t>
      </w:r>
      <w:r>
        <w:t>"Resesyon görmüyor, getiri eğrisini izliyoruz” mesajı da vermiştir.</w:t>
      </w:r>
      <w:r w:rsidR="00CC3AA3">
        <w:t xml:space="preserve"> </w:t>
      </w:r>
      <w:r w:rsidR="00F87CDD">
        <w:t>F</w:t>
      </w:r>
      <w:r>
        <w:t>aiz indirimine rağmen parasal genişleme için şüpheler</w:t>
      </w:r>
      <w:r w:rsidR="00F87CDD">
        <w:t xml:space="preserve"> artmış</w:t>
      </w:r>
      <w:r>
        <w:t xml:space="preserve">, diğer deyişle </w:t>
      </w:r>
      <w:proofErr w:type="spellStart"/>
      <w:r w:rsidR="00F87CDD">
        <w:t>FED’in</w:t>
      </w:r>
      <w:proofErr w:type="spellEnd"/>
      <w:r w:rsidR="00F87CDD">
        <w:t xml:space="preserve"> </w:t>
      </w:r>
      <w:r>
        <w:t>‘’beklenenden daha şahin” bir duruş sergilediği yorumlanmış, kararın ardından</w:t>
      </w:r>
      <w:r w:rsidR="00F87CDD">
        <w:t xml:space="preserve"> da</w:t>
      </w:r>
      <w:r>
        <w:t xml:space="preserve"> Dolar kurunda yükseliş </w:t>
      </w:r>
      <w:r w:rsidR="00F87CDD">
        <w:t>yaşanmıştır.</w:t>
      </w:r>
    </w:p>
    <w:p w:rsidR="00053E4B" w:rsidRDefault="00053E4B" w:rsidP="009642C2">
      <w:pPr>
        <w:autoSpaceDE w:val="0"/>
        <w:autoSpaceDN w:val="0"/>
        <w:adjustRightInd w:val="0"/>
        <w:spacing w:after="0" w:line="240" w:lineRule="auto"/>
        <w:jc w:val="both"/>
      </w:pPr>
    </w:p>
    <w:p w:rsidR="00053E4B" w:rsidRDefault="00F87CDD" w:rsidP="00053E4B">
      <w:pPr>
        <w:autoSpaceDE w:val="0"/>
        <w:autoSpaceDN w:val="0"/>
        <w:adjustRightInd w:val="0"/>
        <w:spacing w:after="0" w:line="240" w:lineRule="auto"/>
        <w:jc w:val="both"/>
      </w:pPr>
      <w:r>
        <w:t xml:space="preserve">Ayrıca </w:t>
      </w:r>
      <w:r w:rsidR="00053E4B">
        <w:t>ABD’de</w:t>
      </w:r>
      <w:r>
        <w:t xml:space="preserve"> Başkan </w:t>
      </w:r>
      <w:proofErr w:type="spellStart"/>
      <w:r>
        <w:t>Trump</w:t>
      </w:r>
      <w:proofErr w:type="spellEnd"/>
      <w:r>
        <w:t xml:space="preserve"> için başlatılan azil süreci ise gündemi sarsmıştır. Süreç, </w:t>
      </w:r>
      <w:r w:rsidR="00053E4B">
        <w:t xml:space="preserve">Demokrat Parti Üyesi ve ABD Temsilciler Meclisi Başkanı </w:t>
      </w:r>
      <w:proofErr w:type="spellStart"/>
      <w:r w:rsidR="00053E4B">
        <w:t>Nancy</w:t>
      </w:r>
      <w:proofErr w:type="spellEnd"/>
      <w:r w:rsidR="00053E4B">
        <w:t xml:space="preserve"> </w:t>
      </w:r>
      <w:proofErr w:type="spellStart"/>
      <w:r w:rsidR="00053E4B">
        <w:t>Pelosi</w:t>
      </w:r>
      <w:proofErr w:type="spellEnd"/>
      <w:r w:rsidR="00053E4B">
        <w:t xml:space="preserve"> tarafından </w:t>
      </w:r>
      <w:r>
        <w:t xml:space="preserve">“ABD Başkanı’nın </w:t>
      </w:r>
      <w:r w:rsidR="00053E4B">
        <w:t xml:space="preserve">Ukrayna hükümetinden, 2020 seçimlerinde karşısına rakip olarak çıkma ihtimali yüksek olan Demokrat ve eski ABD Başkan Yardımcısı </w:t>
      </w:r>
      <w:proofErr w:type="spellStart"/>
      <w:r w:rsidR="00053E4B">
        <w:t>Joe</w:t>
      </w:r>
      <w:proofErr w:type="spellEnd"/>
      <w:r w:rsidR="00053E4B">
        <w:t xml:space="preserve"> </w:t>
      </w:r>
      <w:proofErr w:type="spellStart"/>
      <w:r w:rsidR="00053E4B">
        <w:t>Biden'a</w:t>
      </w:r>
      <w:proofErr w:type="spellEnd"/>
      <w:r w:rsidR="00053E4B">
        <w:t xml:space="preserve"> karşı siyasi yardım talep ettiği” iddiası </w:t>
      </w:r>
      <w:r>
        <w:t xml:space="preserve">başlatılmıştır. </w:t>
      </w:r>
      <w:r w:rsidR="00053E4B">
        <w:t>Uzun bürokratik aşamaları içermesiyle oldukça çetrefilli olan azil sürecinin piyasalara yeni bir belirsizlik unsuru olarak olumsuz yönde yansıması muhtemeldir.</w:t>
      </w:r>
    </w:p>
    <w:p w:rsidR="009642C2" w:rsidRDefault="009642C2" w:rsidP="009642C2">
      <w:pPr>
        <w:autoSpaceDE w:val="0"/>
        <w:autoSpaceDN w:val="0"/>
        <w:adjustRightInd w:val="0"/>
        <w:spacing w:after="0" w:line="240" w:lineRule="auto"/>
        <w:jc w:val="both"/>
      </w:pPr>
    </w:p>
    <w:p w:rsidR="009642C2" w:rsidRDefault="009642C2" w:rsidP="009642C2">
      <w:pPr>
        <w:pStyle w:val="NormalWeb"/>
        <w:spacing w:before="0" w:beforeAutospacing="0" w:after="0" w:afterAutospacing="0" w:line="270" w:lineRule="atLeast"/>
        <w:rPr>
          <w:rFonts w:asciiTheme="minorHAnsi" w:hAnsiTheme="minorHAnsi" w:cstheme="minorHAnsi"/>
          <w:b/>
          <w:i/>
          <w:color w:val="632423"/>
        </w:rPr>
      </w:pPr>
      <w:r w:rsidRPr="00924407">
        <w:rPr>
          <w:rFonts w:asciiTheme="minorHAnsi" w:hAnsiTheme="minorHAnsi" w:cstheme="minorHAnsi"/>
          <w:b/>
          <w:color w:val="632423"/>
        </w:rPr>
        <w:t xml:space="preserve">AVRUPA </w:t>
      </w:r>
      <w:r w:rsidRPr="00924407">
        <w:rPr>
          <w:rFonts w:asciiTheme="minorHAnsi" w:hAnsiTheme="minorHAnsi" w:cstheme="minorHAnsi"/>
          <w:b/>
          <w:color w:val="632423"/>
        </w:rPr>
        <w:tab/>
      </w:r>
      <w:r w:rsidRPr="00924407">
        <w:rPr>
          <w:rFonts w:asciiTheme="minorHAnsi" w:hAnsiTheme="minorHAnsi" w:cstheme="minorHAnsi"/>
          <w:b/>
          <w:color w:val="632423"/>
        </w:rPr>
        <w:tab/>
      </w:r>
      <w:r w:rsidRPr="00924407">
        <w:rPr>
          <w:rFonts w:asciiTheme="minorHAnsi" w:hAnsiTheme="minorHAnsi" w:cstheme="minorHAnsi"/>
          <w:b/>
          <w:color w:val="632423"/>
        </w:rPr>
        <w:tab/>
      </w:r>
      <w:r w:rsidRPr="00924407">
        <w:rPr>
          <w:rFonts w:asciiTheme="minorHAnsi" w:hAnsiTheme="minorHAnsi" w:cstheme="minorHAnsi"/>
          <w:b/>
          <w:color w:val="632423"/>
        </w:rPr>
        <w:tab/>
        <w:t xml:space="preserve">   </w:t>
      </w:r>
      <w:r w:rsidRPr="00924407">
        <w:rPr>
          <w:rFonts w:asciiTheme="minorHAnsi" w:hAnsiTheme="minorHAnsi" w:cstheme="minorHAnsi"/>
          <w:b/>
          <w:i/>
          <w:color w:val="632423"/>
        </w:rPr>
        <w:t xml:space="preserve">                        </w:t>
      </w:r>
      <w:r>
        <w:rPr>
          <w:rFonts w:asciiTheme="minorHAnsi" w:hAnsiTheme="minorHAnsi" w:cstheme="minorHAnsi"/>
          <w:b/>
          <w:i/>
          <w:color w:val="632423"/>
        </w:rPr>
        <w:t xml:space="preserve">             </w:t>
      </w:r>
      <w:r w:rsidR="00B1470D">
        <w:rPr>
          <w:rFonts w:asciiTheme="minorHAnsi" w:hAnsiTheme="minorHAnsi" w:cstheme="minorHAnsi"/>
          <w:b/>
          <w:i/>
          <w:color w:val="632423"/>
        </w:rPr>
        <w:t xml:space="preserve">      </w:t>
      </w:r>
      <w:r>
        <w:rPr>
          <w:rFonts w:asciiTheme="minorHAnsi" w:hAnsiTheme="minorHAnsi" w:cstheme="minorHAnsi"/>
          <w:b/>
          <w:i/>
          <w:color w:val="632423"/>
        </w:rPr>
        <w:t xml:space="preserve">      </w:t>
      </w:r>
      <w:proofErr w:type="spellStart"/>
      <w:r>
        <w:rPr>
          <w:rFonts w:asciiTheme="minorHAnsi" w:hAnsiTheme="minorHAnsi" w:cstheme="minorHAnsi"/>
          <w:b/>
          <w:i/>
          <w:color w:val="632423"/>
        </w:rPr>
        <w:t>Brexit’te</w:t>
      </w:r>
      <w:proofErr w:type="spellEnd"/>
      <w:r>
        <w:rPr>
          <w:rFonts w:asciiTheme="minorHAnsi" w:hAnsiTheme="minorHAnsi" w:cstheme="minorHAnsi"/>
          <w:b/>
          <w:i/>
          <w:color w:val="632423"/>
        </w:rPr>
        <w:t xml:space="preserve"> gözler 31 Ekim’de</w:t>
      </w:r>
    </w:p>
    <w:p w:rsidR="009642C2" w:rsidRPr="00924407" w:rsidRDefault="009642C2" w:rsidP="009642C2">
      <w:pPr>
        <w:pStyle w:val="NormalWeb"/>
        <w:spacing w:before="0" w:beforeAutospacing="0" w:after="0" w:afterAutospacing="0" w:line="270" w:lineRule="atLeast"/>
        <w:rPr>
          <w:rFonts w:asciiTheme="minorHAnsi" w:hAnsiTheme="minorHAnsi" w:cstheme="minorHAnsi"/>
          <w:b/>
          <w:i/>
          <w:color w:val="632423"/>
        </w:rPr>
      </w:pPr>
    </w:p>
    <w:p w:rsidR="009642C2" w:rsidRDefault="009642C2" w:rsidP="009642C2">
      <w:pPr>
        <w:autoSpaceDE w:val="0"/>
        <w:autoSpaceDN w:val="0"/>
        <w:adjustRightInd w:val="0"/>
        <w:spacing w:after="0" w:line="240" w:lineRule="auto"/>
        <w:jc w:val="both"/>
        <w:rPr>
          <w:rFonts w:cstheme="minorHAnsi"/>
        </w:rPr>
      </w:pPr>
      <w:r w:rsidRPr="004E3FF9">
        <w:rPr>
          <w:rFonts w:cstheme="minorHAnsi"/>
        </w:rPr>
        <w:t xml:space="preserve">Küresel piyasalarda siyasi ve jeopolitik belirsizlikler, talep yetersizliği ve </w:t>
      </w:r>
      <w:proofErr w:type="spellStart"/>
      <w:r w:rsidRPr="004E3FF9">
        <w:rPr>
          <w:rFonts w:cstheme="minorHAnsi"/>
        </w:rPr>
        <w:t>deflasyonist</w:t>
      </w:r>
      <w:proofErr w:type="spellEnd"/>
      <w:r w:rsidRPr="004E3FF9">
        <w:rPr>
          <w:rFonts w:cstheme="minorHAnsi"/>
        </w:rPr>
        <w:t xml:space="preserve"> ortam Euro Bölgesi ekonomisini olumsuz etkil</w:t>
      </w:r>
      <w:r>
        <w:rPr>
          <w:rFonts w:cstheme="minorHAnsi"/>
        </w:rPr>
        <w:t>emektedir. Bölge ekonomisi</w:t>
      </w:r>
      <w:r w:rsidR="0087203D">
        <w:rPr>
          <w:rFonts w:cstheme="minorHAnsi"/>
        </w:rPr>
        <w:t>,</w:t>
      </w:r>
      <w:r>
        <w:rPr>
          <w:rFonts w:cstheme="minorHAnsi"/>
        </w:rPr>
        <w:t xml:space="preserve"> </w:t>
      </w:r>
      <w:r w:rsidRPr="00D93DCE">
        <w:rPr>
          <w:rFonts w:cstheme="minorHAnsi"/>
        </w:rPr>
        <w:t>2019 yılının ikinci çeyreğinde iç talepten destek bularak</w:t>
      </w:r>
      <w:r>
        <w:rPr>
          <w:rFonts w:cstheme="minorHAnsi"/>
        </w:rPr>
        <w:t>,</w:t>
      </w:r>
      <w:r w:rsidRPr="00D93DCE">
        <w:rPr>
          <w:rFonts w:cstheme="minorHAnsi"/>
        </w:rPr>
        <w:t xml:space="preserve"> </w:t>
      </w:r>
      <w:r>
        <w:rPr>
          <w:rFonts w:cstheme="minorHAnsi"/>
        </w:rPr>
        <w:t xml:space="preserve">ancak sınırlı biçimde büyüme göstermiş; büyüme oranı </w:t>
      </w:r>
      <w:r w:rsidRPr="00D93DCE">
        <w:rPr>
          <w:rFonts w:cstheme="minorHAnsi"/>
        </w:rPr>
        <w:t xml:space="preserve">bir önceki üç aylık </w:t>
      </w:r>
      <w:r w:rsidRPr="00D93DCE">
        <w:rPr>
          <w:rFonts w:cstheme="minorHAnsi"/>
        </w:rPr>
        <w:lastRenderedPageBreak/>
        <w:t xml:space="preserve">döneme </w:t>
      </w:r>
      <w:r>
        <w:rPr>
          <w:rFonts w:cstheme="minorHAnsi"/>
        </w:rPr>
        <w:t xml:space="preserve">oranla </w:t>
      </w:r>
      <w:r w:rsidRPr="00D93DCE">
        <w:rPr>
          <w:rFonts w:cstheme="minorHAnsi"/>
        </w:rPr>
        <w:t xml:space="preserve"> %0,</w:t>
      </w:r>
      <w:r>
        <w:rPr>
          <w:rFonts w:cstheme="minorHAnsi"/>
        </w:rPr>
        <w:t>2</w:t>
      </w:r>
      <w:r w:rsidR="0087203D">
        <w:rPr>
          <w:rFonts w:cstheme="minorHAnsi"/>
        </w:rPr>
        <w:t xml:space="preserve"> ve</w:t>
      </w:r>
      <w:r w:rsidR="00A64BC1">
        <w:rPr>
          <w:rFonts w:cstheme="minorHAnsi"/>
        </w:rPr>
        <w:t xml:space="preserve"> </w:t>
      </w:r>
      <w:r w:rsidRPr="00D93DCE">
        <w:rPr>
          <w:rFonts w:cstheme="minorHAnsi"/>
        </w:rPr>
        <w:t xml:space="preserve">yıllık </w:t>
      </w:r>
      <w:r w:rsidR="0087203D">
        <w:rPr>
          <w:rFonts w:cstheme="minorHAnsi"/>
        </w:rPr>
        <w:t>olarak</w:t>
      </w:r>
      <w:r w:rsidR="00A64BC1">
        <w:rPr>
          <w:rFonts w:cstheme="minorHAnsi"/>
        </w:rPr>
        <w:t xml:space="preserve"> </w:t>
      </w:r>
      <w:r w:rsidRPr="00D93DCE">
        <w:rPr>
          <w:rFonts w:cstheme="minorHAnsi"/>
        </w:rPr>
        <w:t xml:space="preserve">%1,2 </w:t>
      </w:r>
      <w:r>
        <w:rPr>
          <w:rFonts w:cstheme="minorHAnsi"/>
        </w:rPr>
        <w:t>olmuştur</w:t>
      </w:r>
      <w:r w:rsidR="0087203D">
        <w:rPr>
          <w:rFonts w:cstheme="minorHAnsi"/>
        </w:rPr>
        <w:t>. Önceki öngörülerini düşüren ECB,</w:t>
      </w:r>
      <w:r>
        <w:rPr>
          <w:rFonts w:cstheme="minorHAnsi"/>
        </w:rPr>
        <w:t xml:space="preserve"> </w:t>
      </w:r>
      <w:r>
        <w:t>bölgenin bu yılı %1,1’lik bir büyümeyle tamamlayacağı ve yılsonunda enflasyonun %1,2 olacağı tahmininde bulunmuştur.</w:t>
      </w:r>
    </w:p>
    <w:p w:rsidR="009642C2" w:rsidRDefault="009642C2" w:rsidP="009642C2">
      <w:pPr>
        <w:autoSpaceDE w:val="0"/>
        <w:autoSpaceDN w:val="0"/>
        <w:adjustRightInd w:val="0"/>
        <w:spacing w:after="0" w:line="240" w:lineRule="auto"/>
        <w:jc w:val="both"/>
        <w:rPr>
          <w:rFonts w:cstheme="minorHAnsi"/>
        </w:rPr>
      </w:pPr>
    </w:p>
    <w:p w:rsidR="009642C2" w:rsidRDefault="009642C2" w:rsidP="009642C2">
      <w:pPr>
        <w:autoSpaceDE w:val="0"/>
        <w:autoSpaceDN w:val="0"/>
        <w:adjustRightInd w:val="0"/>
        <w:spacing w:after="0" w:line="240" w:lineRule="auto"/>
        <w:jc w:val="both"/>
        <w:rPr>
          <w:rFonts w:cstheme="minorHAnsi"/>
        </w:rPr>
      </w:pPr>
      <w:r>
        <w:rPr>
          <w:rFonts w:cstheme="minorHAnsi"/>
        </w:rPr>
        <w:t xml:space="preserve">Uzun süredir </w:t>
      </w:r>
      <w:r w:rsidRPr="00FB6DD6">
        <w:rPr>
          <w:rFonts w:cstheme="minorHAnsi"/>
        </w:rPr>
        <w:t xml:space="preserve">düşük büyüme, düşük enflasyon ve yüksek işsizlik sorunları yaşayan </w:t>
      </w:r>
      <w:r w:rsidR="00A64BC1">
        <w:rPr>
          <w:rFonts w:cstheme="minorHAnsi"/>
        </w:rPr>
        <w:t>Avrupa’da</w:t>
      </w:r>
      <w:r w:rsidRPr="00FB6DD6">
        <w:rPr>
          <w:rFonts w:cstheme="minorHAnsi"/>
        </w:rPr>
        <w:t>, ECB tarafından ekonomiyi canlandırma hedefi</w:t>
      </w:r>
      <w:r w:rsidR="0087203D">
        <w:rPr>
          <w:rFonts w:cstheme="minorHAnsi"/>
        </w:rPr>
        <w:t xml:space="preserve"> ile</w:t>
      </w:r>
      <w:r w:rsidRPr="00FB6DD6">
        <w:rPr>
          <w:rFonts w:cstheme="minorHAnsi"/>
        </w:rPr>
        <w:t xml:space="preserve"> parasal genişleme</w:t>
      </w:r>
      <w:r w:rsidR="00A64BC1">
        <w:rPr>
          <w:rFonts w:cstheme="minorHAnsi"/>
        </w:rPr>
        <w:t>yi</w:t>
      </w:r>
      <w:r w:rsidRPr="00FB6DD6">
        <w:rPr>
          <w:rFonts w:cstheme="minorHAnsi"/>
        </w:rPr>
        <w:t xml:space="preserve"> tekrar başla</w:t>
      </w:r>
      <w:r w:rsidR="00A64BC1">
        <w:rPr>
          <w:rFonts w:cstheme="minorHAnsi"/>
        </w:rPr>
        <w:t>tacak</w:t>
      </w:r>
      <w:r w:rsidRPr="00FB6DD6">
        <w:rPr>
          <w:rFonts w:cstheme="minorHAnsi"/>
        </w:rPr>
        <w:t xml:space="preserve"> yeni bir tahvil alım programı açıklanmıştır</w:t>
      </w:r>
      <w:r>
        <w:rPr>
          <w:rFonts w:cstheme="minorHAnsi"/>
        </w:rPr>
        <w:t>. ECB, 12 Eylül tarihli toplantısında,</w:t>
      </w:r>
      <w:r w:rsidRPr="002007E2">
        <w:rPr>
          <w:rFonts w:cstheme="minorHAnsi"/>
        </w:rPr>
        <w:t xml:space="preserve"> mevduat faizini beklentilere paralel olarak 10 </w:t>
      </w:r>
      <w:proofErr w:type="gramStart"/>
      <w:r w:rsidRPr="002007E2">
        <w:rPr>
          <w:rFonts w:cstheme="minorHAnsi"/>
        </w:rPr>
        <w:t>baz</w:t>
      </w:r>
      <w:proofErr w:type="gramEnd"/>
      <w:r w:rsidRPr="002007E2">
        <w:rPr>
          <w:rFonts w:cstheme="minorHAnsi"/>
        </w:rPr>
        <w:t xml:space="preserve"> puan düşür</w:t>
      </w:r>
      <w:r w:rsidR="00A64BC1">
        <w:rPr>
          <w:rFonts w:cstheme="minorHAnsi"/>
        </w:rPr>
        <w:t>müş</w:t>
      </w:r>
      <w:r w:rsidRPr="002007E2">
        <w:rPr>
          <w:rFonts w:cstheme="minorHAnsi"/>
        </w:rPr>
        <w:t xml:space="preserve"> </w:t>
      </w:r>
      <w:r w:rsidR="00A64BC1">
        <w:rPr>
          <w:rFonts w:cstheme="minorHAnsi"/>
        </w:rPr>
        <w:t>(</w:t>
      </w:r>
      <w:r>
        <w:rPr>
          <w:rFonts w:cstheme="minorHAnsi"/>
        </w:rPr>
        <w:t>- %</w:t>
      </w:r>
      <w:r w:rsidRPr="002007E2">
        <w:rPr>
          <w:rFonts w:cstheme="minorHAnsi"/>
        </w:rPr>
        <w:t>0</w:t>
      </w:r>
      <w:r>
        <w:rPr>
          <w:rFonts w:cstheme="minorHAnsi"/>
        </w:rPr>
        <w:t>,</w:t>
      </w:r>
      <w:r w:rsidRPr="002007E2">
        <w:rPr>
          <w:rFonts w:cstheme="minorHAnsi"/>
        </w:rPr>
        <w:t>5'e çek</w:t>
      </w:r>
      <w:r>
        <w:rPr>
          <w:rFonts w:cstheme="minorHAnsi"/>
        </w:rPr>
        <w:t>miş</w:t>
      </w:r>
      <w:r w:rsidR="00A64BC1">
        <w:rPr>
          <w:rFonts w:cstheme="minorHAnsi"/>
        </w:rPr>
        <w:t>)</w:t>
      </w:r>
      <w:r>
        <w:rPr>
          <w:rFonts w:cstheme="minorHAnsi"/>
        </w:rPr>
        <w:t xml:space="preserve">, politika faizini </w:t>
      </w:r>
      <w:r w:rsidRPr="002007E2">
        <w:rPr>
          <w:rFonts w:cstheme="minorHAnsi"/>
        </w:rPr>
        <w:t>%</w:t>
      </w:r>
      <w:r>
        <w:rPr>
          <w:rFonts w:cstheme="minorHAnsi"/>
        </w:rPr>
        <w:t xml:space="preserve">0 </w:t>
      </w:r>
      <w:r w:rsidRPr="002007E2">
        <w:rPr>
          <w:rFonts w:cstheme="minorHAnsi"/>
        </w:rPr>
        <w:t xml:space="preserve">ve marjinal </w:t>
      </w:r>
      <w:proofErr w:type="spellStart"/>
      <w:r w:rsidRPr="002007E2">
        <w:rPr>
          <w:rFonts w:cstheme="minorHAnsi"/>
        </w:rPr>
        <w:t>fonlama</w:t>
      </w:r>
      <w:proofErr w:type="spellEnd"/>
      <w:r w:rsidRPr="002007E2">
        <w:rPr>
          <w:rFonts w:cstheme="minorHAnsi"/>
        </w:rPr>
        <w:t xml:space="preserve"> faizi</w:t>
      </w:r>
      <w:r>
        <w:rPr>
          <w:rFonts w:cstheme="minorHAnsi"/>
        </w:rPr>
        <w:t>ni de %0,</w:t>
      </w:r>
      <w:r w:rsidRPr="002007E2">
        <w:rPr>
          <w:rFonts w:cstheme="minorHAnsi"/>
        </w:rPr>
        <w:t>25'te bırak</w:t>
      </w:r>
      <w:r>
        <w:rPr>
          <w:rFonts w:cstheme="minorHAnsi"/>
        </w:rPr>
        <w:t xml:space="preserve">mıştır. Banka, yeni program kapsamında </w:t>
      </w:r>
      <w:r w:rsidRPr="002007E2">
        <w:rPr>
          <w:rFonts w:cstheme="minorHAnsi"/>
        </w:rPr>
        <w:t>1 Kasım</w:t>
      </w:r>
      <w:r>
        <w:rPr>
          <w:rFonts w:cstheme="minorHAnsi"/>
        </w:rPr>
        <w:t>'dan itibaren her ay 20 milyar E</w:t>
      </w:r>
      <w:r w:rsidRPr="002007E2">
        <w:rPr>
          <w:rFonts w:cstheme="minorHAnsi"/>
        </w:rPr>
        <w:t xml:space="preserve">uro tahvil </w:t>
      </w:r>
      <w:r w:rsidR="00A64BC1">
        <w:rPr>
          <w:rFonts w:cstheme="minorHAnsi"/>
        </w:rPr>
        <w:t>toplayacağını</w:t>
      </w:r>
      <w:r w:rsidRPr="002007E2">
        <w:rPr>
          <w:rFonts w:cstheme="minorHAnsi"/>
        </w:rPr>
        <w:t xml:space="preserve"> ve</w:t>
      </w:r>
      <w:r w:rsidR="00A64BC1">
        <w:rPr>
          <w:rFonts w:cstheme="minorHAnsi"/>
        </w:rPr>
        <w:t xml:space="preserve"> </w:t>
      </w:r>
      <w:r w:rsidRPr="002007E2">
        <w:rPr>
          <w:rFonts w:cstheme="minorHAnsi"/>
        </w:rPr>
        <w:t>alımların gerektiği müddetçe devam edeceğini açıkla</w:t>
      </w:r>
      <w:r>
        <w:rPr>
          <w:rFonts w:cstheme="minorHAnsi"/>
        </w:rPr>
        <w:t>mıştır. Açıklamada ayrıca, b</w:t>
      </w:r>
      <w:r w:rsidRPr="002007E2">
        <w:rPr>
          <w:rFonts w:cstheme="minorHAnsi"/>
        </w:rPr>
        <w:t>ankaların fazla likidite için varlıklarının bir kısmının negatif faizde</w:t>
      </w:r>
      <w:r>
        <w:rPr>
          <w:rFonts w:cstheme="minorHAnsi"/>
        </w:rPr>
        <w:t>n muaf tutulacağı belirtilmiştir.</w:t>
      </w:r>
    </w:p>
    <w:p w:rsidR="00CC3AA3" w:rsidRDefault="00CC3AA3" w:rsidP="009642C2">
      <w:pPr>
        <w:autoSpaceDE w:val="0"/>
        <w:autoSpaceDN w:val="0"/>
        <w:adjustRightInd w:val="0"/>
        <w:spacing w:after="0" w:line="240" w:lineRule="auto"/>
        <w:jc w:val="both"/>
        <w:rPr>
          <w:rFonts w:cstheme="minorHAnsi"/>
        </w:rPr>
      </w:pPr>
    </w:p>
    <w:p w:rsidR="009642C2" w:rsidRDefault="009642C2" w:rsidP="009642C2">
      <w:pPr>
        <w:autoSpaceDE w:val="0"/>
        <w:autoSpaceDN w:val="0"/>
        <w:adjustRightInd w:val="0"/>
        <w:spacing w:after="0" w:line="240" w:lineRule="auto"/>
        <w:jc w:val="both"/>
      </w:pPr>
      <w:proofErr w:type="spellStart"/>
      <w:r w:rsidRPr="00AA5C15">
        <w:t>Brexit</w:t>
      </w:r>
      <w:proofErr w:type="spellEnd"/>
      <w:r w:rsidRPr="00AA5C15">
        <w:t xml:space="preserve"> sürecin</w:t>
      </w:r>
      <w:r>
        <w:t>de</w:t>
      </w:r>
      <w:r w:rsidR="00A64BC1">
        <w:t xml:space="preserve"> ise</w:t>
      </w:r>
      <w:r>
        <w:t xml:space="preserve"> </w:t>
      </w:r>
      <w:r w:rsidR="00A64BC1">
        <w:t xml:space="preserve"> </w:t>
      </w:r>
      <w:r>
        <w:t>‘’</w:t>
      </w:r>
      <w:r w:rsidRPr="00C14299">
        <w:t>31 Ekim'de ayrılacağız, '</w:t>
      </w:r>
      <w:proofErr w:type="gramStart"/>
      <w:r w:rsidRPr="00C14299">
        <w:t>ama'sı</w:t>
      </w:r>
      <w:proofErr w:type="gramEnd"/>
      <w:r w:rsidRPr="00C14299">
        <w:t xml:space="preserve"> veya '</w:t>
      </w:r>
      <w:proofErr w:type="spellStart"/>
      <w:r w:rsidRPr="00C14299">
        <w:t>eğer'i</w:t>
      </w:r>
      <w:proofErr w:type="spellEnd"/>
      <w:r w:rsidRPr="00C14299">
        <w:t xml:space="preserve"> yok</w:t>
      </w:r>
      <w:r>
        <w:t>” diyen İngiltere</w:t>
      </w:r>
      <w:r w:rsidRPr="00AA5C15">
        <w:t xml:space="preserve"> Baş</w:t>
      </w:r>
      <w:r>
        <w:t>ba</w:t>
      </w:r>
      <w:r w:rsidRPr="00AA5C15">
        <w:t>kan</w:t>
      </w:r>
      <w:r>
        <w:t>ı</w:t>
      </w:r>
      <w:r w:rsidRPr="00AA5C15">
        <w:t xml:space="preserve"> </w:t>
      </w:r>
      <w:proofErr w:type="spellStart"/>
      <w:r w:rsidRPr="00AA5C15">
        <w:t>Boris</w:t>
      </w:r>
      <w:proofErr w:type="spellEnd"/>
      <w:r w:rsidRPr="00AA5C15">
        <w:t xml:space="preserve"> </w:t>
      </w:r>
      <w:proofErr w:type="spellStart"/>
      <w:r w:rsidRPr="00AA5C15">
        <w:t>Johnson’ın</w:t>
      </w:r>
      <w:proofErr w:type="spellEnd"/>
      <w:r w:rsidRPr="00AA5C15">
        <w:t xml:space="preserve"> </w:t>
      </w:r>
      <w:r>
        <w:t xml:space="preserve">adımları merakla beklenmektedir. Ülkede siyasi belirsizliğin devamı, yeni bir genel seçim </w:t>
      </w:r>
      <w:r w:rsidRPr="00586B39">
        <w:t>ve başbakan değiş</w:t>
      </w:r>
      <w:r>
        <w:t>ikliği olasılıkları gündemde</w:t>
      </w:r>
      <w:r w:rsidR="00A64BC1">
        <w:t xml:space="preserve">dir. </w:t>
      </w:r>
      <w:r w:rsidRPr="00586B39">
        <w:t>AB'den anlaşmasız</w:t>
      </w:r>
      <w:r>
        <w:t xml:space="preserve"> ayrılık senaryosunda İngiltere'nin</w:t>
      </w:r>
      <w:r w:rsidRPr="00586B39">
        <w:t xml:space="preserve"> </w:t>
      </w:r>
      <w:r w:rsidR="0087203D">
        <w:t>Gümrük Birliği ve Ortak P</w:t>
      </w:r>
      <w:r w:rsidRPr="00586B39">
        <w:t>azar</w:t>
      </w:r>
      <w:r w:rsidR="0087203D">
        <w:t>’</w:t>
      </w:r>
      <w:r w:rsidRPr="00586B39">
        <w:t xml:space="preserve">dan </w:t>
      </w:r>
      <w:r>
        <w:t>hemen çıkarılması gerekecektir. H</w:t>
      </w:r>
      <w:r w:rsidRPr="00586B39">
        <w:t xml:space="preserve">ükümet </w:t>
      </w:r>
      <w:r>
        <w:t xml:space="preserve">bu seçenek kapsamında sokak gösterileri, </w:t>
      </w:r>
      <w:r w:rsidRPr="00586B39">
        <w:t xml:space="preserve">gıda fiyatlarının yükselmesi ve tıbbi malzemeler ile ilaç </w:t>
      </w:r>
      <w:proofErr w:type="spellStart"/>
      <w:r w:rsidRPr="00586B39">
        <w:t>tedariğinin</w:t>
      </w:r>
      <w:proofErr w:type="spellEnd"/>
      <w:r w:rsidRPr="00586B39">
        <w:t xml:space="preserve"> kesintiye uğraması</w:t>
      </w:r>
      <w:r>
        <w:t xml:space="preserve"> gibi gelişmelerden</w:t>
      </w:r>
      <w:r w:rsidRPr="00586B39">
        <w:t xml:space="preserve"> endişe duymaktadır.</w:t>
      </w:r>
      <w:r>
        <w:t xml:space="preserve"> </w:t>
      </w:r>
    </w:p>
    <w:p w:rsidR="00CC3AA3" w:rsidRDefault="00CC3AA3" w:rsidP="009642C2">
      <w:pPr>
        <w:autoSpaceDE w:val="0"/>
        <w:autoSpaceDN w:val="0"/>
        <w:adjustRightInd w:val="0"/>
        <w:spacing w:after="0" w:line="240" w:lineRule="auto"/>
        <w:jc w:val="both"/>
      </w:pPr>
    </w:p>
    <w:p w:rsidR="009642C2" w:rsidRPr="00924407" w:rsidRDefault="009642C2" w:rsidP="009642C2">
      <w:pPr>
        <w:autoSpaceDE w:val="0"/>
        <w:autoSpaceDN w:val="0"/>
        <w:adjustRightInd w:val="0"/>
        <w:spacing w:after="0" w:line="240" w:lineRule="auto"/>
        <w:jc w:val="both"/>
      </w:pPr>
      <w:r w:rsidRPr="00924407">
        <w:rPr>
          <w:rFonts w:eastAsia="Times New Roman" w:cstheme="minorHAnsi"/>
          <w:b/>
          <w:color w:val="632423"/>
          <w:sz w:val="24"/>
          <w:szCs w:val="24"/>
        </w:rPr>
        <w:t>ÇİN</w:t>
      </w:r>
      <w:r w:rsidRPr="00924407">
        <w:rPr>
          <w:rFonts w:eastAsia="Times New Roman" w:cstheme="minorHAnsi"/>
          <w:b/>
          <w:color w:val="632423"/>
          <w:sz w:val="24"/>
          <w:szCs w:val="24"/>
        </w:rPr>
        <w:tab/>
      </w:r>
      <w:r w:rsidRPr="00924407">
        <w:rPr>
          <w:rFonts w:eastAsia="Times New Roman" w:cstheme="minorHAnsi"/>
          <w:b/>
          <w:color w:val="632423"/>
          <w:sz w:val="24"/>
          <w:szCs w:val="24"/>
        </w:rPr>
        <w:tab/>
      </w:r>
      <w:r w:rsidRPr="00924407">
        <w:rPr>
          <w:rFonts w:eastAsia="Times New Roman" w:cstheme="minorHAnsi"/>
          <w:b/>
          <w:color w:val="632423"/>
          <w:sz w:val="24"/>
          <w:szCs w:val="24"/>
        </w:rPr>
        <w:tab/>
      </w:r>
      <w:r w:rsidR="00B1470D">
        <w:rPr>
          <w:rFonts w:eastAsia="Times New Roman" w:cstheme="minorHAnsi"/>
          <w:b/>
          <w:color w:val="632423"/>
          <w:sz w:val="24"/>
          <w:szCs w:val="24"/>
        </w:rPr>
        <w:t xml:space="preserve">          </w:t>
      </w:r>
      <w:r w:rsidRPr="00924407">
        <w:rPr>
          <w:rFonts w:eastAsia="Times New Roman" w:cstheme="minorHAnsi"/>
          <w:b/>
          <w:color w:val="632423"/>
          <w:sz w:val="24"/>
          <w:szCs w:val="24"/>
        </w:rPr>
        <w:t xml:space="preserve">      </w:t>
      </w:r>
      <w:r>
        <w:rPr>
          <w:rFonts w:eastAsia="Times New Roman" w:cstheme="minorHAnsi"/>
          <w:b/>
          <w:color w:val="632423"/>
          <w:sz w:val="24"/>
          <w:szCs w:val="24"/>
        </w:rPr>
        <w:t xml:space="preserve">                              </w:t>
      </w:r>
      <w:r w:rsidRPr="00924407">
        <w:rPr>
          <w:rFonts w:eastAsia="Times New Roman" w:cstheme="minorHAnsi"/>
          <w:b/>
          <w:color w:val="632423"/>
          <w:sz w:val="24"/>
          <w:szCs w:val="24"/>
        </w:rPr>
        <w:t xml:space="preserve">     </w:t>
      </w:r>
      <w:r>
        <w:rPr>
          <w:rFonts w:eastAsia="Times New Roman" w:cstheme="minorHAnsi"/>
          <w:b/>
          <w:color w:val="632423"/>
          <w:sz w:val="24"/>
          <w:szCs w:val="24"/>
        </w:rPr>
        <w:t xml:space="preserve">       </w:t>
      </w:r>
      <w:r w:rsidRPr="00924407">
        <w:rPr>
          <w:rFonts w:eastAsia="Times New Roman" w:cstheme="minorHAnsi"/>
          <w:b/>
          <w:color w:val="632423"/>
          <w:sz w:val="24"/>
          <w:szCs w:val="24"/>
        </w:rPr>
        <w:t xml:space="preserve">   </w:t>
      </w:r>
      <w:r>
        <w:rPr>
          <w:rFonts w:eastAsia="Times New Roman" w:cstheme="minorHAnsi"/>
          <w:b/>
          <w:i/>
          <w:color w:val="632423"/>
          <w:sz w:val="24"/>
          <w:szCs w:val="24"/>
        </w:rPr>
        <w:t>Kış aylarında destek paketi açılabilir</w:t>
      </w:r>
    </w:p>
    <w:p w:rsidR="009642C2" w:rsidRPr="00924407" w:rsidRDefault="00B1470D" w:rsidP="009642C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p>
    <w:p w:rsidR="009642C2" w:rsidRDefault="009642C2" w:rsidP="009642C2">
      <w:pPr>
        <w:autoSpaceDE w:val="0"/>
        <w:autoSpaceDN w:val="0"/>
        <w:adjustRightInd w:val="0"/>
        <w:spacing w:after="0" w:line="240" w:lineRule="auto"/>
        <w:jc w:val="both"/>
        <w:rPr>
          <w:rFonts w:cstheme="minorHAnsi"/>
          <w:shd w:val="clear" w:color="auto" w:fill="FFFFFF"/>
        </w:rPr>
      </w:pPr>
      <w:r w:rsidRPr="007719DA">
        <w:t xml:space="preserve">Çin ekonomisi, 2019 yılının ikinci çeyreğinde </w:t>
      </w:r>
      <w:r w:rsidR="0087203D">
        <w:t>s</w:t>
      </w:r>
      <w:r w:rsidR="0087203D" w:rsidRPr="007719DA">
        <w:t>on 27 yılın en düşük seviyesi</w:t>
      </w:r>
      <w:r w:rsidR="0087203D">
        <w:t xml:space="preserve"> olan </w:t>
      </w:r>
      <w:r w:rsidRPr="00BC53F2">
        <w:t>%6,2</w:t>
      </w:r>
      <w:r w:rsidRPr="007719DA">
        <w:t xml:space="preserve"> oranında büyü</w:t>
      </w:r>
      <w:r w:rsidR="0087203D">
        <w:t xml:space="preserve">müştür. </w:t>
      </w:r>
      <w:r>
        <w:t xml:space="preserve">Ülkede </w:t>
      </w:r>
      <w:r w:rsidR="0087203D">
        <w:t xml:space="preserve">ticaret savaşının etkisiyle </w:t>
      </w:r>
      <w:r>
        <w:t>2019 yılı büyüme hedefi bir süre önce</w:t>
      </w:r>
      <w:r w:rsidRPr="00BC53F2">
        <w:t xml:space="preserve"> </w:t>
      </w:r>
      <w:r>
        <w:t>%</w:t>
      </w:r>
      <w:r w:rsidRPr="00BC53F2">
        <w:t>6,0</w:t>
      </w:r>
      <w:r>
        <w:t xml:space="preserve"> </w:t>
      </w:r>
      <w:r w:rsidRPr="00BC53F2">
        <w:t>-</w:t>
      </w:r>
      <w:r>
        <w:t xml:space="preserve"> </w:t>
      </w:r>
      <w:r w:rsidRPr="00BC53F2">
        <w:t>6,5</w:t>
      </w:r>
      <w:r w:rsidR="0087203D">
        <w:t xml:space="preserve"> </w:t>
      </w:r>
      <w:proofErr w:type="gramStart"/>
      <w:r w:rsidR="0087203D">
        <w:t>aralığı</w:t>
      </w:r>
      <w:proofErr w:type="gramEnd"/>
      <w:r w:rsidR="0087203D">
        <w:t xml:space="preserve"> </w:t>
      </w:r>
      <w:r w:rsidRPr="00BC53F2">
        <w:t>olarak belirlenmişti</w:t>
      </w:r>
      <w:r w:rsidR="00A64BC1">
        <w:t>r</w:t>
      </w:r>
      <w:r w:rsidRPr="00BC53F2">
        <w:t>.</w:t>
      </w:r>
      <w:r w:rsidRPr="00072562">
        <w:t xml:space="preserve"> </w:t>
      </w:r>
      <w:r>
        <w:t>Hükümet tarafından</w:t>
      </w:r>
      <w:r w:rsidR="0087203D">
        <w:t xml:space="preserve"> ekonominin desteklenmesi için</w:t>
      </w:r>
      <w:r>
        <w:t xml:space="preserve"> şirketler</w:t>
      </w:r>
      <w:r w:rsidR="0087203D">
        <w:t>in</w:t>
      </w:r>
      <w:r>
        <w:t xml:space="preserve"> borçlanma maliyetlerinin düşürülmesi beklenirken, otomobil alımlarındaki kısıtlamaların gevşetileceği ve </w:t>
      </w:r>
      <w:proofErr w:type="spellStart"/>
      <w:r>
        <w:t>hanehalkı</w:t>
      </w:r>
      <w:proofErr w:type="spellEnd"/>
      <w:r>
        <w:t xml:space="preserve"> tüketimi konusunda çeşitli kredi destekleri sağlanacağı</w:t>
      </w:r>
      <w:r w:rsidR="0087203D">
        <w:t xml:space="preserve"> da</w:t>
      </w:r>
      <w:r>
        <w:t xml:space="preserve"> açıklanmıştır.</w:t>
      </w:r>
    </w:p>
    <w:p w:rsidR="009642C2" w:rsidRDefault="009642C2" w:rsidP="009642C2">
      <w:pPr>
        <w:autoSpaceDE w:val="0"/>
        <w:autoSpaceDN w:val="0"/>
        <w:adjustRightInd w:val="0"/>
        <w:spacing w:after="0" w:line="240" w:lineRule="auto"/>
        <w:jc w:val="both"/>
        <w:rPr>
          <w:rFonts w:cstheme="minorHAnsi"/>
          <w:shd w:val="clear" w:color="auto" w:fill="FFFFFF"/>
        </w:rPr>
      </w:pPr>
    </w:p>
    <w:p w:rsidR="009642C2" w:rsidRDefault="009642C2" w:rsidP="009642C2">
      <w:pPr>
        <w:autoSpaceDE w:val="0"/>
        <w:autoSpaceDN w:val="0"/>
        <w:adjustRightInd w:val="0"/>
        <w:spacing w:after="0" w:line="240" w:lineRule="auto"/>
        <w:jc w:val="both"/>
      </w:pPr>
      <w:r>
        <w:t>Son olarak, ABD Ba</w:t>
      </w:r>
      <w:r w:rsidR="00A64BC1">
        <w:t>ş</w:t>
      </w:r>
      <w:r>
        <w:t xml:space="preserve">kanı </w:t>
      </w:r>
      <w:proofErr w:type="spellStart"/>
      <w:r w:rsidRPr="00CD2EB3">
        <w:t>Trump</w:t>
      </w:r>
      <w:r>
        <w:t>’ın</w:t>
      </w:r>
      <w:proofErr w:type="spellEnd"/>
      <w:r w:rsidRPr="00CD2EB3">
        <w:t xml:space="preserve"> </w:t>
      </w:r>
      <w:r>
        <w:t xml:space="preserve">Çin Halk Cumhuriyeti’nin 70. kuruluş yıldönümü etkinliklerinin başlayacağı </w:t>
      </w:r>
      <w:r w:rsidRPr="00CD2EB3">
        <w:t xml:space="preserve">1 Ekim’de yürürlüğe girecek 250 milyar </w:t>
      </w:r>
      <w:r>
        <w:t>ABD Doları</w:t>
      </w:r>
      <w:r w:rsidRPr="00CD2EB3">
        <w:t xml:space="preserve"> </w:t>
      </w:r>
      <w:r>
        <w:t>tutarındaki</w:t>
      </w:r>
      <w:r w:rsidRPr="00CD2EB3">
        <w:t xml:space="preserve"> </w:t>
      </w:r>
      <w:r>
        <w:t xml:space="preserve">ek </w:t>
      </w:r>
      <w:r w:rsidRPr="00CD2EB3">
        <w:t>gümrük vergisi</w:t>
      </w:r>
      <w:r>
        <w:t xml:space="preserve"> uygulamasını</w:t>
      </w:r>
      <w:r w:rsidRPr="00A27B24">
        <w:t xml:space="preserve"> </w:t>
      </w:r>
      <w:r w:rsidRPr="00CD2EB3">
        <w:t xml:space="preserve">Çin Başbakan Yardımcısı </w:t>
      </w:r>
      <w:proofErr w:type="spellStart"/>
      <w:r w:rsidRPr="00CD2EB3">
        <w:t>Liu</w:t>
      </w:r>
      <w:proofErr w:type="spellEnd"/>
      <w:r w:rsidRPr="00CD2EB3">
        <w:t xml:space="preserve"> </w:t>
      </w:r>
      <w:proofErr w:type="spellStart"/>
      <w:r w:rsidRPr="00CD2EB3">
        <w:t>He’nin</w:t>
      </w:r>
      <w:proofErr w:type="spellEnd"/>
      <w:r w:rsidRPr="00CD2EB3">
        <w:t xml:space="preserve"> özel ricası </w:t>
      </w:r>
      <w:r>
        <w:t xml:space="preserve">üzerine ertelenmesi piyasalarda olumlu karşılanmıştır. </w:t>
      </w:r>
    </w:p>
    <w:p w:rsidR="009642C2"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t>Diğer yan</w:t>
      </w:r>
      <w:r w:rsidR="006E7F12">
        <w:t>dan ABD, ekonomisinin dinamizmi</w:t>
      </w:r>
      <w:r w:rsidR="00A64BC1">
        <w:t xml:space="preserve"> </w:t>
      </w:r>
      <w:r>
        <w:t xml:space="preserve">ihracattan gelen Çin’i, para birimi </w:t>
      </w:r>
      <w:proofErr w:type="spellStart"/>
      <w:r>
        <w:t>Yuan’ı</w:t>
      </w:r>
      <w:proofErr w:type="spellEnd"/>
      <w:r>
        <w:t xml:space="preserve"> ABD Doları karşısında </w:t>
      </w:r>
      <w:r w:rsidR="00A64BC1">
        <w:t>devalüe ederek</w:t>
      </w:r>
      <w:r>
        <w:t xml:space="preserve"> </w:t>
      </w:r>
      <w:proofErr w:type="gramStart"/>
      <w:r>
        <w:t>manipülasyon</w:t>
      </w:r>
      <w:proofErr w:type="gramEnd"/>
      <w:r>
        <w:t xml:space="preserve"> yapmakla suçlamıştır. </w:t>
      </w:r>
      <w:r w:rsidR="0087203D">
        <w:t xml:space="preserve">Ancak </w:t>
      </w:r>
      <w:r w:rsidR="00A64BC1">
        <w:t>u</w:t>
      </w:r>
      <w:r w:rsidR="0087203D">
        <w:t xml:space="preserve">zmanlar, </w:t>
      </w:r>
      <w:r w:rsidR="00607228">
        <w:t xml:space="preserve">gelişmenin </w:t>
      </w:r>
      <w:r>
        <w:t xml:space="preserve">ABD’nin 2015 yılında aldığı kararla ayrıntılarını açıkladığı “kur manipülatörü” tanımına uymadığı ve </w:t>
      </w:r>
      <w:proofErr w:type="spellStart"/>
      <w:r>
        <w:t>Yu</w:t>
      </w:r>
      <w:r w:rsidR="006E7F12">
        <w:t>an’da</w:t>
      </w:r>
      <w:proofErr w:type="spellEnd"/>
      <w:r w:rsidR="006E7F12">
        <w:t xml:space="preserve"> yaşanan düşüşün temelinde</w:t>
      </w:r>
      <w:r w:rsidR="00607228">
        <w:t xml:space="preserve"> </w:t>
      </w:r>
      <w:r>
        <w:t xml:space="preserve">yatırımcının risk iştahındaki azalmanın olduğu görüşünü taşımaktadır. </w:t>
      </w:r>
      <w:proofErr w:type="spellStart"/>
      <w:r>
        <w:t>Yuan</w:t>
      </w:r>
      <w:proofErr w:type="spellEnd"/>
      <w:r>
        <w:t>/Dolar</w:t>
      </w:r>
      <w:r w:rsidR="0087203D">
        <w:t xml:space="preserve"> kurundaki</w:t>
      </w:r>
      <w:r>
        <w:t xml:space="preserve"> gelişmeler ilk bakışta Çin’in dış ticaret dengesi açısından olumlu gözükse de Uluslararası Finans Enstitüsü</w:t>
      </w:r>
      <w:r w:rsidR="0087203D">
        <w:t xml:space="preserve"> (IIF)</w:t>
      </w:r>
      <w:r>
        <w:t xml:space="preserve"> verilerine göre</w:t>
      </w:r>
      <w:r w:rsidR="0087203D">
        <w:t>;</w:t>
      </w:r>
      <w:r>
        <w:t xml:space="preserve"> finans dışı şirketlerin Dolar cinsinden bor</w:t>
      </w:r>
      <w:r w:rsidR="00607228">
        <w:t>çlarının</w:t>
      </w:r>
      <w:r>
        <w:t xml:space="preserve"> </w:t>
      </w:r>
      <w:proofErr w:type="spellStart"/>
      <w:r>
        <w:t>GSYH’</w:t>
      </w:r>
      <w:r w:rsidR="00607228">
        <w:t>ya</w:t>
      </w:r>
      <w:proofErr w:type="spellEnd"/>
      <w:r w:rsidR="00607228">
        <w:t xml:space="preserve"> oranı </w:t>
      </w:r>
      <w:r>
        <w:t xml:space="preserve"> %</w:t>
      </w:r>
      <w:r w:rsidR="006E7F12">
        <w:t>6’lar seviyesin</w:t>
      </w:r>
      <w:r w:rsidR="00607228">
        <w:t xml:space="preserve"> </w:t>
      </w:r>
      <w:r>
        <w:t xml:space="preserve">ulaşmış olan Çin’de bir Dolar krizi riskinin mevcudiyeti söz konusudur. </w:t>
      </w:r>
    </w:p>
    <w:p w:rsidR="009642C2" w:rsidRDefault="009642C2" w:rsidP="009642C2">
      <w:pPr>
        <w:autoSpaceDE w:val="0"/>
        <w:autoSpaceDN w:val="0"/>
        <w:adjustRightInd w:val="0"/>
        <w:spacing w:after="0" w:line="240" w:lineRule="auto"/>
        <w:jc w:val="both"/>
      </w:pPr>
    </w:p>
    <w:p w:rsidR="009642C2" w:rsidRDefault="009642C2" w:rsidP="009642C2">
      <w:pPr>
        <w:autoSpaceDE w:val="0"/>
        <w:autoSpaceDN w:val="0"/>
        <w:adjustRightInd w:val="0"/>
        <w:spacing w:after="0" w:line="240" w:lineRule="auto"/>
        <w:jc w:val="both"/>
      </w:pPr>
      <w:r w:rsidRPr="009448CC">
        <w:t xml:space="preserve">Ekonomik </w:t>
      </w:r>
      <w:proofErr w:type="gramStart"/>
      <w:r w:rsidRPr="009448CC">
        <w:t>resesyon</w:t>
      </w:r>
      <w:proofErr w:type="gramEnd"/>
      <w:r w:rsidRPr="009448CC">
        <w:t xml:space="preserve"> ihtimaline karşı koymakta olan Çin için yeni bir mücadele cephesi jeopolitik alanda açılmış gözükmektedir. Çin'e bağlı yarı özerk Hong Kong’da, şüphelilerin Çin'e iade edilerek yargılanmasını öngören yasa taslağına karşı milyonlarca kişinin katıldığı protestolar ülkenin politik gerilimini artırmaktadır.</w:t>
      </w:r>
      <w:r w:rsidR="006E7F12">
        <w:t xml:space="preserve"> </w:t>
      </w:r>
      <w:r w:rsidRPr="009448CC">
        <w:t>Protestoların, ABD’den etkilendiği iddiaları gündeme gelmekte, küresel sermaye açısından önemli bir merkez olan Hong Kong ekonomisinin de süreçten zarar gördüğü belirtilmektedir.</w:t>
      </w:r>
    </w:p>
    <w:p w:rsidR="009642C2" w:rsidRPr="00BD6A96" w:rsidRDefault="009642C2" w:rsidP="009642C2">
      <w:pPr>
        <w:autoSpaceDE w:val="0"/>
        <w:autoSpaceDN w:val="0"/>
        <w:adjustRightInd w:val="0"/>
        <w:spacing w:after="0" w:line="240" w:lineRule="auto"/>
        <w:jc w:val="both"/>
      </w:pPr>
    </w:p>
    <w:p w:rsidR="009642C2" w:rsidRPr="00924407" w:rsidRDefault="009642C2" w:rsidP="009642C2">
      <w:pPr>
        <w:autoSpaceDE w:val="0"/>
        <w:autoSpaceDN w:val="0"/>
        <w:adjustRightInd w:val="0"/>
        <w:spacing w:after="0" w:line="240" w:lineRule="auto"/>
        <w:jc w:val="both"/>
        <w:rPr>
          <w:rFonts w:eastAsia="Times New Roman" w:cstheme="minorHAnsi"/>
          <w:b/>
          <w:color w:val="632423"/>
          <w:sz w:val="24"/>
          <w:szCs w:val="24"/>
        </w:rPr>
      </w:pPr>
      <w:r w:rsidRPr="009448CC">
        <w:rPr>
          <w:rFonts w:eastAsia="Times New Roman" w:cstheme="minorHAnsi"/>
          <w:b/>
          <w:color w:val="632423"/>
          <w:sz w:val="24"/>
          <w:szCs w:val="24"/>
        </w:rPr>
        <w:t>GELİŞMEKTE OLAN ÜLKELER</w:t>
      </w:r>
      <w:r w:rsidRPr="009448CC">
        <w:rPr>
          <w:rFonts w:eastAsia="Times New Roman" w:cstheme="minorHAnsi"/>
          <w:b/>
          <w:color w:val="632423"/>
          <w:sz w:val="24"/>
          <w:szCs w:val="24"/>
        </w:rPr>
        <w:tab/>
        <w:t xml:space="preserve">                                            </w:t>
      </w:r>
      <w:r w:rsidR="00B1470D">
        <w:rPr>
          <w:rFonts w:eastAsia="Times New Roman" w:cstheme="minorHAnsi"/>
          <w:b/>
          <w:color w:val="632423"/>
          <w:sz w:val="24"/>
          <w:szCs w:val="24"/>
        </w:rPr>
        <w:t xml:space="preserve">      </w:t>
      </w:r>
      <w:r w:rsidRPr="009448CC">
        <w:rPr>
          <w:rFonts w:eastAsia="Times New Roman" w:cstheme="minorHAnsi"/>
          <w:b/>
          <w:color w:val="632423"/>
          <w:sz w:val="24"/>
          <w:szCs w:val="24"/>
        </w:rPr>
        <w:t xml:space="preserve">                </w:t>
      </w:r>
      <w:r w:rsidRPr="009448CC">
        <w:rPr>
          <w:rFonts w:eastAsia="Times New Roman" w:cstheme="minorHAnsi"/>
          <w:b/>
          <w:i/>
          <w:color w:val="632423"/>
          <w:sz w:val="24"/>
          <w:szCs w:val="24"/>
        </w:rPr>
        <w:t>FED kararları umut veriyor</w:t>
      </w:r>
      <w:r>
        <w:rPr>
          <w:rFonts w:eastAsia="Times New Roman" w:cstheme="minorHAnsi"/>
          <w:b/>
          <w:color w:val="632423"/>
          <w:sz w:val="24"/>
          <w:szCs w:val="24"/>
        </w:rPr>
        <w:t xml:space="preserve"> </w:t>
      </w:r>
    </w:p>
    <w:p w:rsidR="009642C2" w:rsidRPr="00924407" w:rsidRDefault="009642C2" w:rsidP="009642C2">
      <w:pPr>
        <w:autoSpaceDE w:val="0"/>
        <w:autoSpaceDN w:val="0"/>
        <w:adjustRightInd w:val="0"/>
        <w:spacing w:after="0" w:line="240" w:lineRule="auto"/>
        <w:jc w:val="both"/>
      </w:pPr>
    </w:p>
    <w:p w:rsidR="00DE22AE" w:rsidRDefault="009642C2" w:rsidP="009642C2">
      <w:pPr>
        <w:autoSpaceDE w:val="0"/>
        <w:autoSpaceDN w:val="0"/>
        <w:adjustRightInd w:val="0"/>
        <w:spacing w:after="0" w:line="240" w:lineRule="auto"/>
        <w:jc w:val="both"/>
      </w:pPr>
      <w:r>
        <w:t>Geçtiğimiz çeyrek dönem</w:t>
      </w:r>
      <w:r w:rsidR="00607228">
        <w:t>de</w:t>
      </w:r>
      <w:r w:rsidR="0087203D">
        <w:t xml:space="preserve"> küresel piyasalarda</w:t>
      </w:r>
      <w:r>
        <w:t xml:space="preserve"> artan risk algısı sonucunda </w:t>
      </w:r>
      <w:r w:rsidR="00607228">
        <w:t>yaşananlar</w:t>
      </w:r>
      <w:r w:rsidR="0087203D">
        <w:t>,</w:t>
      </w:r>
      <w:r w:rsidR="00607228">
        <w:t xml:space="preserve"> </w:t>
      </w:r>
      <w:proofErr w:type="spellStart"/>
      <w:r>
        <w:t>GOÜ</w:t>
      </w:r>
      <w:r w:rsidR="0087203D">
        <w:t>’leri</w:t>
      </w:r>
      <w:proofErr w:type="spellEnd"/>
      <w:r w:rsidR="00607228">
        <w:t xml:space="preserve"> </w:t>
      </w:r>
      <w:r>
        <w:t>destekleyici olmamıştır.</w:t>
      </w:r>
      <w:r w:rsidRPr="00577EBE">
        <w:t xml:space="preserve"> </w:t>
      </w:r>
    </w:p>
    <w:p w:rsidR="00DE22AE" w:rsidRDefault="00DE22AE" w:rsidP="009642C2">
      <w:pPr>
        <w:autoSpaceDE w:val="0"/>
        <w:autoSpaceDN w:val="0"/>
        <w:adjustRightInd w:val="0"/>
        <w:spacing w:after="0" w:line="240" w:lineRule="auto"/>
        <w:jc w:val="both"/>
      </w:pPr>
    </w:p>
    <w:p w:rsidR="0087203D" w:rsidRDefault="0087203D" w:rsidP="009642C2">
      <w:pPr>
        <w:autoSpaceDE w:val="0"/>
        <w:autoSpaceDN w:val="0"/>
        <w:adjustRightInd w:val="0"/>
        <w:spacing w:after="0" w:line="240" w:lineRule="auto"/>
        <w:jc w:val="both"/>
        <w:rPr>
          <w:rFonts w:eastAsia="Times New Roman" w:cs="Calibri"/>
          <w:bCs/>
        </w:rPr>
      </w:pPr>
      <w:proofErr w:type="spellStart"/>
      <w:r>
        <w:t>IIF’in</w:t>
      </w:r>
      <w:proofErr w:type="spellEnd"/>
      <w:r w:rsidR="00607228">
        <w:t xml:space="preserve"> </w:t>
      </w:r>
      <w:r w:rsidR="009642C2" w:rsidRPr="002567E2">
        <w:t>geliş</w:t>
      </w:r>
      <w:r w:rsidR="00607228">
        <w:t xml:space="preserve">mekte olan 15 </w:t>
      </w:r>
      <w:r w:rsidR="009642C2" w:rsidRPr="002567E2">
        <w:t>ülkenin hisse senedi, 8 ülke</w:t>
      </w:r>
      <w:r w:rsidR="00607228">
        <w:t>nin</w:t>
      </w:r>
      <w:r w:rsidR="009642C2">
        <w:t xml:space="preserve"> tahvili</w:t>
      </w:r>
      <w:r w:rsidR="00607228">
        <w:t>ni</w:t>
      </w:r>
      <w:r w:rsidR="009642C2">
        <w:t xml:space="preserve"> içeren</w:t>
      </w:r>
      <w:r w:rsidR="00607228">
        <w:t xml:space="preserve"> Ağustos ayı </w:t>
      </w:r>
      <w:r w:rsidR="009642C2">
        <w:t>verilerine göre; GOÜ piyasalarında</w:t>
      </w:r>
      <w:r w:rsidR="009642C2" w:rsidRPr="009A2CEF">
        <w:t xml:space="preserve"> </w:t>
      </w:r>
      <w:r w:rsidR="009642C2" w:rsidRPr="00CE252A">
        <w:rPr>
          <w:rFonts w:cstheme="minorHAnsi"/>
        </w:rPr>
        <w:t>hisse senetlerinden 10,5 milyar ABD Doları ve tahvillerden de 1,9 milyar ABD Doları çıkış gerçekleş</w:t>
      </w:r>
      <w:r>
        <w:rPr>
          <w:rFonts w:cstheme="minorHAnsi"/>
        </w:rPr>
        <w:t>tiği izlen</w:t>
      </w:r>
      <w:r w:rsidR="009642C2" w:rsidRPr="00CE252A">
        <w:rPr>
          <w:rFonts w:cstheme="minorHAnsi"/>
        </w:rPr>
        <w:t>miştir.</w:t>
      </w:r>
      <w:r w:rsidR="009642C2" w:rsidRPr="00CE252A">
        <w:rPr>
          <w:rFonts w:cstheme="minorHAnsi"/>
          <w:color w:val="444444"/>
          <w:shd w:val="clear" w:color="auto" w:fill="FFFFFF"/>
        </w:rPr>
        <w:t xml:space="preserve"> Böylece y</w:t>
      </w:r>
      <w:r w:rsidR="009642C2" w:rsidRPr="00CE252A">
        <w:rPr>
          <w:rFonts w:cstheme="minorHAnsi"/>
        </w:rPr>
        <w:t>ılbaşından Ağustos ayına kadar bu ülkelere toplam fon girişi tahvil piyasasında 12,7 milyar</w:t>
      </w:r>
      <w:r w:rsidR="009642C2">
        <w:rPr>
          <w:rFonts w:cstheme="minorHAnsi"/>
        </w:rPr>
        <w:t xml:space="preserve"> ABD Doları’na, hisse senedind</w:t>
      </w:r>
      <w:r w:rsidR="009642C2" w:rsidRPr="00CE252A">
        <w:rPr>
          <w:rFonts w:cstheme="minorHAnsi"/>
        </w:rPr>
        <w:t xml:space="preserve">e de 36,8 milyar ABD Doları’na </w:t>
      </w:r>
      <w:r w:rsidR="00607228">
        <w:rPr>
          <w:rFonts w:cstheme="minorHAnsi"/>
        </w:rPr>
        <w:t>gerilemiştir</w:t>
      </w:r>
      <w:r w:rsidR="009642C2" w:rsidRPr="00CE252A">
        <w:rPr>
          <w:rFonts w:cstheme="minorHAnsi"/>
        </w:rPr>
        <w:t xml:space="preserve">. </w:t>
      </w:r>
      <w:proofErr w:type="spellStart"/>
      <w:r>
        <w:rPr>
          <w:rFonts w:eastAsia="Times New Roman" w:cs="Calibri"/>
          <w:bCs/>
        </w:rPr>
        <w:t>IIF’</w:t>
      </w:r>
      <w:r w:rsidR="009642C2">
        <w:rPr>
          <w:rFonts w:eastAsia="Times New Roman" w:cs="Calibri"/>
          <w:bCs/>
        </w:rPr>
        <w:t>in</w:t>
      </w:r>
      <w:proofErr w:type="spellEnd"/>
      <w:r w:rsidR="009642C2">
        <w:rPr>
          <w:rFonts w:eastAsia="Times New Roman" w:cs="Calibri"/>
          <w:bCs/>
        </w:rPr>
        <w:t xml:space="preserve"> </w:t>
      </w:r>
      <w:r>
        <w:rPr>
          <w:rFonts w:eastAsia="Times New Roman" w:cs="Calibri"/>
          <w:bCs/>
        </w:rPr>
        <w:t xml:space="preserve">daha önceki verileri ise </w:t>
      </w:r>
      <w:r w:rsidR="009642C2" w:rsidRPr="00924407">
        <w:rPr>
          <w:rFonts w:eastAsia="Times New Roman" w:cs="Calibri"/>
          <w:bCs/>
        </w:rPr>
        <w:t xml:space="preserve">gelişmekte olan </w:t>
      </w:r>
      <w:r w:rsidR="009642C2">
        <w:rPr>
          <w:rFonts w:eastAsia="Times New Roman" w:cs="Calibri"/>
          <w:bCs/>
        </w:rPr>
        <w:t xml:space="preserve">ülke </w:t>
      </w:r>
      <w:r w:rsidR="009642C2" w:rsidRPr="00924407">
        <w:rPr>
          <w:rFonts w:eastAsia="Times New Roman" w:cs="Calibri"/>
          <w:bCs/>
        </w:rPr>
        <w:t>piyasalar</w:t>
      </w:r>
      <w:r w:rsidR="009642C2">
        <w:rPr>
          <w:rFonts w:eastAsia="Times New Roman" w:cs="Calibri"/>
          <w:bCs/>
        </w:rPr>
        <w:t>ın</w:t>
      </w:r>
      <w:r w:rsidR="009642C2" w:rsidRPr="00924407">
        <w:rPr>
          <w:rFonts w:eastAsia="Times New Roman" w:cs="Calibri"/>
          <w:bCs/>
        </w:rPr>
        <w:t>a</w:t>
      </w:r>
      <w:r>
        <w:rPr>
          <w:rFonts w:eastAsia="Times New Roman" w:cs="Calibri"/>
          <w:bCs/>
        </w:rPr>
        <w:t xml:space="preserve"> Haziran’da</w:t>
      </w:r>
      <w:r w:rsidR="009642C2" w:rsidRPr="00924407">
        <w:rPr>
          <w:rFonts w:eastAsia="Times New Roman" w:cs="Calibri"/>
          <w:bCs/>
        </w:rPr>
        <w:t xml:space="preserve"> net 40,8 milyar ABD Doları </w:t>
      </w:r>
      <w:r w:rsidR="009642C2">
        <w:rPr>
          <w:rFonts w:eastAsia="Times New Roman" w:cs="Calibri"/>
          <w:bCs/>
        </w:rPr>
        <w:t>tutarında</w:t>
      </w:r>
      <w:r w:rsidR="009642C2" w:rsidRPr="00924407">
        <w:rPr>
          <w:rFonts w:eastAsia="Times New Roman" w:cs="Calibri"/>
          <w:bCs/>
        </w:rPr>
        <w:t xml:space="preserve"> sermaye girişi</w:t>
      </w:r>
      <w:r>
        <w:rPr>
          <w:rFonts w:eastAsia="Times New Roman" w:cs="Calibri"/>
          <w:bCs/>
        </w:rPr>
        <w:t>ni ortaya koymuştur.</w:t>
      </w:r>
    </w:p>
    <w:p w:rsidR="009642C2" w:rsidRDefault="009642C2" w:rsidP="009642C2">
      <w:pPr>
        <w:autoSpaceDE w:val="0"/>
        <w:autoSpaceDN w:val="0"/>
        <w:adjustRightInd w:val="0"/>
        <w:spacing w:after="0" w:line="240" w:lineRule="auto"/>
        <w:jc w:val="both"/>
        <w:rPr>
          <w:rFonts w:eastAsia="Times New Roman" w:cs="Calibri"/>
          <w:bCs/>
        </w:rPr>
      </w:pPr>
    </w:p>
    <w:p w:rsidR="009642C2" w:rsidRDefault="009642C2" w:rsidP="009642C2">
      <w:pPr>
        <w:autoSpaceDE w:val="0"/>
        <w:autoSpaceDN w:val="0"/>
        <w:adjustRightInd w:val="0"/>
        <w:spacing w:after="0" w:line="240" w:lineRule="auto"/>
        <w:jc w:val="both"/>
      </w:pPr>
      <w:r>
        <w:t xml:space="preserve">Birleşmiş Milletler Ticaret ve Kalkınma Örgütü (UNCTAD), geçtiğimiz yıl küresel yatırımların %13,4 düşerek son 9 yılın en düşük seviyesine gerilediğini ve 1,3 trilyon ABD Doları olarak kaydedildiğini ortaya koymuştur. </w:t>
      </w:r>
      <w:r w:rsidR="00DE22AE">
        <w:t xml:space="preserve">Dolayısıyla </w:t>
      </w:r>
      <w:proofErr w:type="spellStart"/>
      <w:r w:rsidR="00DE22AE">
        <w:t>GOÜ’ler</w:t>
      </w:r>
      <w:proofErr w:type="spellEnd"/>
      <w:r w:rsidR="00DE22AE">
        <w:t xml:space="preserve"> için finansmana erişim geçtiğimiz dönemde epey güçleşmiş ve yatırım ortamı zayıflamıştır. </w:t>
      </w:r>
    </w:p>
    <w:p w:rsidR="009642C2" w:rsidRDefault="009642C2" w:rsidP="009642C2">
      <w:pPr>
        <w:autoSpaceDE w:val="0"/>
        <w:autoSpaceDN w:val="0"/>
        <w:adjustRightInd w:val="0"/>
        <w:spacing w:after="0" w:line="240" w:lineRule="auto"/>
        <w:jc w:val="both"/>
        <w:rPr>
          <w:rFonts w:eastAsia="Times New Roman" w:cs="Calibri"/>
          <w:bCs/>
        </w:rPr>
      </w:pPr>
    </w:p>
    <w:p w:rsidR="00DE22AE" w:rsidRDefault="009642C2" w:rsidP="009642C2">
      <w:pPr>
        <w:autoSpaceDE w:val="0"/>
        <w:autoSpaceDN w:val="0"/>
        <w:adjustRightInd w:val="0"/>
        <w:spacing w:after="0" w:line="240" w:lineRule="auto"/>
        <w:jc w:val="both"/>
      </w:pPr>
      <w:r>
        <w:t xml:space="preserve">Ticaret savaşı ve Çin’de ekonomik </w:t>
      </w:r>
      <w:r w:rsidR="006E7F12">
        <w:t>faaliyetlerdeki yavaşlamanın</w:t>
      </w:r>
      <w:r>
        <w:t xml:space="preserve">, küresel tedarik zinciri kapsamında </w:t>
      </w:r>
      <w:r w:rsidR="00607228">
        <w:t xml:space="preserve">olan </w:t>
      </w:r>
      <w:r>
        <w:t>GOÜ ekonomilerine olumsuz etkisinden bahsedilmektedir.</w:t>
      </w:r>
      <w:r w:rsidRPr="004C7D91">
        <w:t xml:space="preserve"> </w:t>
      </w:r>
      <w:r w:rsidR="007F05D3">
        <w:t xml:space="preserve">Ayrıca geçtiğimiz ay petrol </w:t>
      </w:r>
      <w:r w:rsidR="003A0804">
        <w:t>fiyatlarında yaşanan oynaklık,</w:t>
      </w:r>
      <w:r w:rsidR="007F05D3">
        <w:t xml:space="preserve"> Türkiye’nin de aralarında bulunduğu </w:t>
      </w:r>
      <w:r w:rsidR="003A0804">
        <w:t>GOÜ ekonomilerin</w:t>
      </w:r>
      <w:r w:rsidR="00C36585">
        <w:t>d</w:t>
      </w:r>
      <w:r w:rsidR="003A0804">
        <w:t>e</w:t>
      </w:r>
      <w:r w:rsidR="007F05D3">
        <w:t xml:space="preserve"> c</w:t>
      </w:r>
      <w:r w:rsidR="00F46ED1">
        <w:t>ari denge ve enflasyon üzerinde</w:t>
      </w:r>
      <w:r w:rsidR="00C36585">
        <w:t xml:space="preserve"> risk</w:t>
      </w:r>
      <w:r w:rsidR="007F05D3">
        <w:t xml:space="preserve"> oluşturmaktadır.</w:t>
      </w:r>
      <w:r w:rsidR="0044027A" w:rsidRPr="0044027A">
        <w:t xml:space="preserve"> </w:t>
      </w:r>
    </w:p>
    <w:p w:rsidR="00DE22AE" w:rsidRDefault="00DE22AE" w:rsidP="009642C2">
      <w:pPr>
        <w:autoSpaceDE w:val="0"/>
        <w:autoSpaceDN w:val="0"/>
        <w:adjustRightInd w:val="0"/>
        <w:spacing w:after="0" w:line="240" w:lineRule="auto"/>
        <w:jc w:val="both"/>
      </w:pPr>
    </w:p>
    <w:p w:rsidR="009642C2" w:rsidRDefault="00A64A9A" w:rsidP="009642C2">
      <w:pPr>
        <w:autoSpaceDE w:val="0"/>
        <w:autoSpaceDN w:val="0"/>
        <w:adjustRightInd w:val="0"/>
        <w:spacing w:after="0" w:line="240" w:lineRule="auto"/>
        <w:jc w:val="both"/>
      </w:pPr>
      <w:r>
        <w:t xml:space="preserve">Bu gelişmelere karşın, </w:t>
      </w:r>
      <w:proofErr w:type="spellStart"/>
      <w:r w:rsidR="009642C2">
        <w:t>FED’in</w:t>
      </w:r>
      <w:proofErr w:type="spellEnd"/>
      <w:r w:rsidR="009642C2">
        <w:t xml:space="preserve"> Temmuz ve Eylül aylarındaki 25’er </w:t>
      </w:r>
      <w:proofErr w:type="gramStart"/>
      <w:r w:rsidR="009642C2">
        <w:t>baz</w:t>
      </w:r>
      <w:proofErr w:type="gramEnd"/>
      <w:r w:rsidR="009642C2">
        <w:t xml:space="preserve"> puanlık faiz indirimleri bu ülkeler için küresel</w:t>
      </w:r>
      <w:r w:rsidR="009642C2" w:rsidRPr="00F919F5">
        <w:t xml:space="preserve"> büyüme eğilimindeki yavaşlama sonrasında </w:t>
      </w:r>
      <w:r w:rsidR="009642C2">
        <w:t xml:space="preserve">yeni bir dönem olarak algılanmakta ve kısa vadede sermaye girişinde fırsatlar sunmaktadır. </w:t>
      </w:r>
    </w:p>
    <w:p w:rsidR="002B3950" w:rsidRDefault="002B3950" w:rsidP="009642C2">
      <w:pPr>
        <w:autoSpaceDE w:val="0"/>
        <w:autoSpaceDN w:val="0"/>
        <w:adjustRightInd w:val="0"/>
        <w:spacing w:after="0" w:line="240" w:lineRule="auto"/>
        <w:jc w:val="both"/>
      </w:pPr>
    </w:p>
    <w:p w:rsidR="009642C2" w:rsidRPr="00924407" w:rsidRDefault="009642C2" w:rsidP="009642C2">
      <w:pPr>
        <w:autoSpaceDE w:val="0"/>
        <w:autoSpaceDN w:val="0"/>
        <w:adjustRightInd w:val="0"/>
        <w:spacing w:after="0" w:line="240" w:lineRule="auto"/>
        <w:jc w:val="both"/>
        <w:rPr>
          <w:rFonts w:eastAsia="Times New Roman" w:cstheme="minorHAnsi"/>
          <w:b/>
          <w:i/>
          <w:color w:val="632423"/>
          <w:sz w:val="24"/>
          <w:szCs w:val="24"/>
        </w:rPr>
      </w:pPr>
      <w:r w:rsidRPr="00924407">
        <w:rPr>
          <w:rFonts w:eastAsia="Times New Roman" w:cstheme="minorHAnsi"/>
          <w:b/>
          <w:color w:val="632423"/>
          <w:sz w:val="24"/>
          <w:szCs w:val="24"/>
        </w:rPr>
        <w:t>PETROL FİYATLARI</w:t>
      </w:r>
      <w:r w:rsidRPr="00924407">
        <w:rPr>
          <w:rFonts w:eastAsia="Times New Roman" w:cstheme="minorHAnsi"/>
          <w:b/>
          <w:color w:val="632423"/>
          <w:sz w:val="24"/>
          <w:szCs w:val="24"/>
        </w:rPr>
        <w:tab/>
      </w:r>
      <w:r w:rsidRPr="00924407">
        <w:rPr>
          <w:rFonts w:eastAsia="Times New Roman" w:cstheme="minorHAnsi"/>
          <w:b/>
          <w:color w:val="632423"/>
          <w:sz w:val="24"/>
          <w:szCs w:val="24"/>
        </w:rPr>
        <w:tab/>
      </w:r>
      <w:r w:rsidRPr="00924407">
        <w:rPr>
          <w:rFonts w:eastAsia="Times New Roman" w:cstheme="minorHAnsi"/>
          <w:b/>
          <w:color w:val="632423"/>
          <w:sz w:val="24"/>
          <w:szCs w:val="24"/>
        </w:rPr>
        <w:tab/>
      </w:r>
      <w:r>
        <w:rPr>
          <w:rFonts w:eastAsia="Times New Roman" w:cstheme="minorHAnsi"/>
          <w:b/>
          <w:color w:val="632423"/>
          <w:sz w:val="24"/>
          <w:szCs w:val="24"/>
        </w:rPr>
        <w:t xml:space="preserve">                </w:t>
      </w:r>
      <w:r w:rsidR="00B1470D">
        <w:rPr>
          <w:rFonts w:eastAsia="Times New Roman" w:cstheme="minorHAnsi"/>
          <w:b/>
          <w:color w:val="632423"/>
          <w:sz w:val="24"/>
          <w:szCs w:val="24"/>
        </w:rPr>
        <w:t xml:space="preserve">             </w:t>
      </w:r>
      <w:r>
        <w:rPr>
          <w:rFonts w:eastAsia="Times New Roman" w:cstheme="minorHAnsi"/>
          <w:b/>
          <w:color w:val="632423"/>
          <w:sz w:val="24"/>
          <w:szCs w:val="24"/>
        </w:rPr>
        <w:t xml:space="preserve">                      </w:t>
      </w:r>
      <w:r>
        <w:rPr>
          <w:rFonts w:eastAsia="Times New Roman" w:cstheme="minorHAnsi"/>
          <w:b/>
          <w:i/>
          <w:color w:val="632423"/>
          <w:sz w:val="24"/>
          <w:szCs w:val="24"/>
        </w:rPr>
        <w:t>Terör saldırıları ile tırmandı</w:t>
      </w:r>
    </w:p>
    <w:p w:rsidR="009642C2" w:rsidRPr="00924407" w:rsidRDefault="009642C2" w:rsidP="009642C2">
      <w:pPr>
        <w:autoSpaceDE w:val="0"/>
        <w:autoSpaceDN w:val="0"/>
        <w:adjustRightInd w:val="0"/>
        <w:spacing w:after="0" w:line="240" w:lineRule="auto"/>
        <w:jc w:val="both"/>
        <w:rPr>
          <w:rFonts w:eastAsia="Times New Roman" w:cstheme="minorHAnsi"/>
          <w:b/>
          <w:i/>
          <w:color w:val="632423"/>
          <w:sz w:val="24"/>
          <w:szCs w:val="24"/>
        </w:rPr>
      </w:pPr>
    </w:p>
    <w:p w:rsidR="009642C2" w:rsidRDefault="009642C2" w:rsidP="009642C2">
      <w:pPr>
        <w:autoSpaceDE w:val="0"/>
        <w:autoSpaceDN w:val="0"/>
        <w:adjustRightInd w:val="0"/>
        <w:spacing w:after="0" w:line="240" w:lineRule="auto"/>
        <w:jc w:val="both"/>
        <w:rPr>
          <w:b/>
        </w:rPr>
      </w:pPr>
      <w:r>
        <w:t>Petrol fiyatları, geçtiğimiz çeyrek dönemde</w:t>
      </w:r>
      <w:r w:rsidRPr="00DA1B09">
        <w:t xml:space="preserve"> </w:t>
      </w:r>
      <w:r>
        <w:t>ekonomik aktivitenin küresel ölçekte ivme kaybetmesiyle baskı altında kalarak düşük bir seyir izlemiştir.</w:t>
      </w:r>
      <w:r w:rsidRPr="00E47102">
        <w:t xml:space="preserve"> </w:t>
      </w:r>
      <w:r>
        <w:t>Eylül</w:t>
      </w:r>
      <w:r w:rsidR="00A64A9A">
        <w:t xml:space="preserve"> ayında</w:t>
      </w:r>
      <w:r>
        <w:t xml:space="preserve"> </w:t>
      </w:r>
      <w:r w:rsidR="00DE22AE">
        <w:t xml:space="preserve">ise </w:t>
      </w:r>
      <w:r>
        <w:t>Suudi Arabistan'ın</w:t>
      </w:r>
      <w:r w:rsidRPr="00E47102">
        <w:t xml:space="preserve"> petrol </w:t>
      </w:r>
      <w:r w:rsidR="00825896">
        <w:t>tesislerine</w:t>
      </w:r>
      <w:r w:rsidRPr="00E47102">
        <w:t xml:space="preserve"> düzenlenen </w:t>
      </w:r>
      <w:r>
        <w:t xml:space="preserve">terör </w:t>
      </w:r>
      <w:r w:rsidRPr="00E47102">
        <w:t>saldırı</w:t>
      </w:r>
      <w:r>
        <w:t>sı</w:t>
      </w:r>
      <w:r w:rsidRPr="00E47102">
        <w:t xml:space="preserve">nın ülke arzını yaklaşık </w:t>
      </w:r>
      <w:r>
        <w:t>%</w:t>
      </w:r>
      <w:r w:rsidRPr="00E47102">
        <w:t>5 azaltması</w:t>
      </w:r>
      <w:r>
        <w:t>yla</w:t>
      </w:r>
      <w:r w:rsidRPr="00E47102">
        <w:t xml:space="preserve"> </w:t>
      </w:r>
      <w:proofErr w:type="spellStart"/>
      <w:r>
        <w:t>B</w:t>
      </w:r>
      <w:r w:rsidRPr="001F48DC">
        <w:t>rent</w:t>
      </w:r>
      <w:proofErr w:type="spellEnd"/>
      <w:r w:rsidRPr="001F48DC">
        <w:t xml:space="preserve"> tipi ham petrolün varil </w:t>
      </w:r>
      <w:r w:rsidR="00EE54D8">
        <w:t xml:space="preserve">fiyatı </w:t>
      </w:r>
      <w:r>
        <w:t xml:space="preserve">60 ABD Doları’ndan 70 ABD Doları’nın üzerine çıkmıştır. </w:t>
      </w:r>
      <w:r w:rsidR="00216BFF">
        <w:t>Ü</w:t>
      </w:r>
      <w:r w:rsidR="00216BFF" w:rsidRPr="007F05D3">
        <w:t>lkenin üretimi beklenenden daha hızlı bir şekilde toparlıyor olması</w:t>
      </w:r>
      <w:r w:rsidR="00216BFF">
        <w:t xml:space="preserve"> ve küresel büyümeye dair </w:t>
      </w:r>
      <w:r w:rsidR="00C36585">
        <w:t>artan endişeler</w:t>
      </w:r>
      <w:r w:rsidR="00DE22AE">
        <w:t xml:space="preserve"> i</w:t>
      </w:r>
      <w:r w:rsidR="00C36585">
        <w:t>l</w:t>
      </w:r>
      <w:r w:rsidR="00216BFF">
        <w:t>e</w:t>
      </w:r>
      <w:r w:rsidR="00DE22AE">
        <w:t xml:space="preserve"> düşüşe geçen petrolün varil fiyatı</w:t>
      </w:r>
      <w:r w:rsidR="00216BFF">
        <w:t xml:space="preserve"> 3 Ekim itibariyle 57,7</w:t>
      </w:r>
      <w:r w:rsidR="00C36585">
        <w:t xml:space="preserve"> ABD Doları’na gerilemiştir</w:t>
      </w:r>
      <w:r w:rsidR="00216BFF">
        <w:t>.</w:t>
      </w:r>
    </w:p>
    <w:p w:rsidR="00CF6E0C" w:rsidRDefault="00CF6E0C" w:rsidP="009642C2">
      <w:pPr>
        <w:autoSpaceDE w:val="0"/>
        <w:autoSpaceDN w:val="0"/>
        <w:adjustRightInd w:val="0"/>
        <w:spacing w:after="0" w:line="240" w:lineRule="auto"/>
        <w:jc w:val="both"/>
        <w:rPr>
          <w:b/>
        </w:rPr>
      </w:pPr>
    </w:p>
    <w:p w:rsidR="009642C2" w:rsidRDefault="009642C2" w:rsidP="009642C2">
      <w:pPr>
        <w:autoSpaceDE w:val="0"/>
        <w:autoSpaceDN w:val="0"/>
        <w:adjustRightInd w:val="0"/>
        <w:spacing w:after="0" w:line="240" w:lineRule="auto"/>
        <w:jc w:val="both"/>
      </w:pPr>
      <w:r w:rsidRPr="009448CC">
        <w:t xml:space="preserve">Petrol fiyatlarının son dönemde jeopolitik gelişmelerden çok ABD'nin arz rakamlarından ve ekonomide ABD - Çin ticaret savaşından kaynaklı belirsizliklerden etkilendiği izlenmiştir. </w:t>
      </w:r>
      <w:r w:rsidR="00DE22AE">
        <w:t>Oysa y</w:t>
      </w:r>
      <w:r w:rsidRPr="009448CC">
        <w:t xml:space="preserve">ılın üçüncü çeyreğine gelindiğinde Suudi Arabistan’ın </w:t>
      </w:r>
      <w:proofErr w:type="spellStart"/>
      <w:r w:rsidR="00CE6F95">
        <w:t>Aramco</w:t>
      </w:r>
      <w:proofErr w:type="spellEnd"/>
      <w:r w:rsidR="00CE6F95">
        <w:t xml:space="preserve"> tesislerine </w:t>
      </w:r>
      <w:r w:rsidRPr="009448CC">
        <w:t>yapılan saldırı petrol piyasasında “Siyasi risk primi, gündeme geri mi döndü?” sorularına neden olmuştur.</w:t>
      </w:r>
    </w:p>
    <w:p w:rsidR="001879B9" w:rsidRDefault="001879B9" w:rsidP="009642C2">
      <w:pPr>
        <w:autoSpaceDE w:val="0"/>
        <w:autoSpaceDN w:val="0"/>
        <w:adjustRightInd w:val="0"/>
        <w:spacing w:after="0" w:line="240" w:lineRule="auto"/>
        <w:jc w:val="both"/>
      </w:pPr>
    </w:p>
    <w:p w:rsidR="00FB34BE" w:rsidRDefault="009642C2" w:rsidP="0074332B">
      <w:pPr>
        <w:autoSpaceDE w:val="0"/>
        <w:autoSpaceDN w:val="0"/>
        <w:adjustRightInd w:val="0"/>
        <w:spacing w:after="0" w:line="240" w:lineRule="auto"/>
        <w:jc w:val="both"/>
        <w:rPr>
          <w:rFonts w:eastAsia="Times New Roman" w:cs="Calibri"/>
          <w:b/>
          <w:color w:val="632423"/>
          <w:sz w:val="28"/>
          <w:szCs w:val="28"/>
        </w:rPr>
      </w:pPr>
      <w:r w:rsidRPr="00DA079A">
        <w:t>Ulusl</w:t>
      </w:r>
      <w:r>
        <w:t xml:space="preserve">ararası Enerji Ajansı (IEA), </w:t>
      </w:r>
      <w:r w:rsidR="00DE22AE">
        <w:t xml:space="preserve">saldırıdan önce açıkladığı </w:t>
      </w:r>
      <w:r>
        <w:t xml:space="preserve">Eylül ayı Petrol Piyasası Raporu’nda, ABD'de hızla artan kaya petrolü üretiminin ülkenin petrol ihracatına olumlu yansıdığını ve </w:t>
      </w:r>
      <w:r w:rsidRPr="00DA079A">
        <w:t>Petrol İhraç Eden Ülkeler Örgütü</w:t>
      </w:r>
      <w:r>
        <w:t>’</w:t>
      </w:r>
      <w:r w:rsidRPr="00DA079A">
        <w:t>nün (OPEC)</w:t>
      </w:r>
      <w:r>
        <w:t xml:space="preserve"> üretim kısıtlama anlaşması </w:t>
      </w:r>
      <w:r w:rsidRPr="009448CC">
        <w:t>nedeniyle Suudi Arabistan'ın petrol üretim ve ihracatında düşüş görüldüğünü belirtmiştir. IEA verilerine göre</w:t>
      </w:r>
      <w:r w:rsidR="00DE22AE">
        <w:t xml:space="preserve"> </w:t>
      </w:r>
      <w:r w:rsidRPr="009448CC">
        <w:t xml:space="preserve">dünyanın en büyük petrol ihracatçısı konumuna yükselmiş olan ABD, İran’a yönelik yaptırımlarını artırmaktadır. Başkan </w:t>
      </w:r>
      <w:proofErr w:type="spellStart"/>
      <w:r w:rsidRPr="009448CC">
        <w:t>Trump</w:t>
      </w:r>
      <w:proofErr w:type="spellEnd"/>
      <w:r w:rsidRPr="009448CC">
        <w:t xml:space="preserve">, petrol </w:t>
      </w:r>
      <w:r w:rsidR="00825896" w:rsidRPr="009448CC">
        <w:t>tesislerine</w:t>
      </w:r>
      <w:r w:rsidR="00A64A9A" w:rsidRPr="009448CC">
        <w:t xml:space="preserve"> </w:t>
      </w:r>
      <w:r w:rsidRPr="009448CC">
        <w:t>yapılan saldırıdan İran’ı sorumlu tutmuş ve ülkenin ulusal bankasını yaptırım listesine aldıklarını açıklamıştır.</w:t>
      </w:r>
      <w:r w:rsidR="00A64A9A" w:rsidRPr="009448CC">
        <w:t xml:space="preserve"> </w:t>
      </w:r>
      <w:proofErr w:type="spellStart"/>
      <w:r w:rsidRPr="009448CC">
        <w:t>T</w:t>
      </w:r>
      <w:r w:rsidR="00A64A9A" w:rsidRPr="009448CC">
        <w:t>r</w:t>
      </w:r>
      <w:r w:rsidRPr="009448CC">
        <w:t>ump’ın</w:t>
      </w:r>
      <w:proofErr w:type="spellEnd"/>
      <w:r w:rsidRPr="009448CC">
        <w:t xml:space="preserve">, Eylül ayında </w:t>
      </w:r>
      <w:r w:rsidR="00A64A9A" w:rsidRPr="009448CC">
        <w:t xml:space="preserve">yaptığı </w:t>
      </w:r>
      <w:r w:rsidRPr="009448CC">
        <w:t xml:space="preserve">BM Genel Kurulu konuşmasında, “Her ulusun İran’a karşı harekete geçme mecburiyeti var” sözleriyle İran’a karşı koalisyona yeni katılımlar için baskıyı artıracağı sinyali vermiştir. </w:t>
      </w:r>
      <w:r w:rsidR="00A64A9A" w:rsidRPr="009448CC">
        <w:t xml:space="preserve">Öte yandan, </w:t>
      </w:r>
      <w:r w:rsidRPr="009448CC">
        <w:t xml:space="preserve">Çin hükümetinin </w:t>
      </w:r>
      <w:r w:rsidR="00A64A9A" w:rsidRPr="009448CC">
        <w:t xml:space="preserve">İran’ın petrol ve doğalgaz sektörüne </w:t>
      </w:r>
      <w:r w:rsidRPr="009448CC">
        <w:t>280 milyar ABD Doları tutarında yatırım yapmaya hazırlandığı iddia edilm</w:t>
      </w:r>
      <w:r w:rsidR="00A64A9A" w:rsidRPr="009448CC">
        <w:t>ektedir</w:t>
      </w:r>
      <w:r w:rsidRPr="009448CC">
        <w:t xml:space="preserve">. </w:t>
      </w:r>
      <w:r w:rsidRPr="009448CC">
        <w:rPr>
          <w:rFonts w:eastAsia="Times New Roman" w:cs="Calibri"/>
          <w:bCs/>
        </w:rPr>
        <w:t xml:space="preserve">Avrupa ülkelerinin İran’ın </w:t>
      </w:r>
      <w:r w:rsidRPr="009448CC">
        <w:t xml:space="preserve">Nükleer Anlaşma’nın içinde kalması için attığı adımlar çerçevesinde ise son olarak Fransa Cumhurbaşkanı </w:t>
      </w:r>
      <w:proofErr w:type="spellStart"/>
      <w:r w:rsidRPr="009448CC">
        <w:t>Macron</w:t>
      </w:r>
      <w:proofErr w:type="spellEnd"/>
      <w:r w:rsidRPr="009448CC">
        <w:t xml:space="preserve"> tarafından Tahran’a ABD'nin de onaylaması halinde yılsonuna kadar 15 milyar ABD Doları kredi sağla</w:t>
      </w:r>
      <w:r w:rsidR="00A64A9A" w:rsidRPr="009448CC">
        <w:t>yabileceği açıklanmıştır</w:t>
      </w:r>
      <w:r w:rsidRPr="009448CC">
        <w:t>.</w:t>
      </w:r>
    </w:p>
    <w:p w:rsidR="00E25A04" w:rsidRDefault="00E25A04" w:rsidP="0074332B">
      <w:pPr>
        <w:autoSpaceDE w:val="0"/>
        <w:autoSpaceDN w:val="0"/>
        <w:adjustRightInd w:val="0"/>
        <w:spacing w:after="0" w:line="240" w:lineRule="auto"/>
        <w:jc w:val="both"/>
        <w:rPr>
          <w:rFonts w:eastAsia="Times New Roman" w:cs="Calibri"/>
          <w:b/>
          <w:color w:val="632423"/>
          <w:sz w:val="28"/>
          <w:szCs w:val="28"/>
        </w:rPr>
      </w:pPr>
    </w:p>
    <w:p w:rsidR="001879B9" w:rsidRDefault="001879B9" w:rsidP="0074332B">
      <w:pPr>
        <w:autoSpaceDE w:val="0"/>
        <w:autoSpaceDN w:val="0"/>
        <w:adjustRightInd w:val="0"/>
        <w:spacing w:after="0" w:line="240" w:lineRule="auto"/>
        <w:jc w:val="both"/>
        <w:rPr>
          <w:rFonts w:eastAsia="Times New Roman" w:cs="Calibri"/>
          <w:b/>
          <w:color w:val="632423"/>
          <w:sz w:val="28"/>
          <w:szCs w:val="28"/>
        </w:rPr>
      </w:pPr>
    </w:p>
    <w:p w:rsidR="0074332B" w:rsidRDefault="0074332B" w:rsidP="0074332B">
      <w:pPr>
        <w:autoSpaceDE w:val="0"/>
        <w:autoSpaceDN w:val="0"/>
        <w:adjustRightInd w:val="0"/>
        <w:spacing w:after="0" w:line="240" w:lineRule="auto"/>
        <w:jc w:val="both"/>
        <w:rPr>
          <w:rFonts w:eastAsia="Times New Roman" w:cs="Calibri"/>
          <w:b/>
          <w:i/>
          <w:color w:val="632423"/>
          <w:sz w:val="24"/>
          <w:szCs w:val="24"/>
        </w:rPr>
      </w:pPr>
      <w:r w:rsidRPr="00951B93">
        <w:rPr>
          <w:rFonts w:eastAsia="Times New Roman" w:cs="Calibri"/>
          <w:b/>
          <w:color w:val="632423"/>
          <w:sz w:val="28"/>
          <w:szCs w:val="28"/>
        </w:rPr>
        <w:lastRenderedPageBreak/>
        <w:t>TÜRKİYE</w:t>
      </w:r>
      <w:r w:rsidRPr="00924407">
        <w:rPr>
          <w:rFonts w:eastAsia="Times New Roman" w:cs="Calibri"/>
          <w:b/>
          <w:color w:val="632423"/>
          <w:sz w:val="28"/>
          <w:szCs w:val="28"/>
        </w:rPr>
        <w:t xml:space="preserve"> </w:t>
      </w:r>
      <w:r w:rsidRPr="00924407">
        <w:rPr>
          <w:rFonts w:eastAsia="Times New Roman" w:cs="Calibri"/>
          <w:b/>
          <w:color w:val="632423"/>
          <w:sz w:val="28"/>
          <w:szCs w:val="28"/>
        </w:rPr>
        <w:tab/>
      </w:r>
      <w:r w:rsidRPr="00924407">
        <w:rPr>
          <w:rFonts w:eastAsia="Times New Roman" w:cs="Calibri"/>
          <w:b/>
          <w:color w:val="632423"/>
          <w:sz w:val="28"/>
          <w:szCs w:val="28"/>
        </w:rPr>
        <w:tab/>
      </w:r>
      <w:r w:rsidRPr="00924407">
        <w:rPr>
          <w:rFonts w:eastAsia="Times New Roman" w:cs="Calibri"/>
          <w:b/>
          <w:color w:val="632423"/>
          <w:sz w:val="28"/>
          <w:szCs w:val="28"/>
        </w:rPr>
        <w:tab/>
      </w:r>
      <w:r w:rsidRPr="00924407">
        <w:rPr>
          <w:rFonts w:eastAsia="Times New Roman" w:cs="Calibri"/>
          <w:b/>
          <w:color w:val="632423"/>
          <w:sz w:val="28"/>
          <w:szCs w:val="28"/>
        </w:rPr>
        <w:tab/>
      </w:r>
      <w:r w:rsidRPr="00924407">
        <w:rPr>
          <w:rFonts w:eastAsia="Times New Roman" w:cs="Calibri"/>
          <w:b/>
          <w:color w:val="632423"/>
          <w:sz w:val="28"/>
          <w:szCs w:val="28"/>
        </w:rPr>
        <w:tab/>
        <w:t xml:space="preserve">                   </w:t>
      </w:r>
    </w:p>
    <w:p w:rsidR="0074332B" w:rsidRPr="00924407" w:rsidRDefault="0074332B" w:rsidP="0074332B">
      <w:pPr>
        <w:autoSpaceDE w:val="0"/>
        <w:autoSpaceDN w:val="0"/>
        <w:adjustRightInd w:val="0"/>
        <w:spacing w:after="0" w:line="240" w:lineRule="auto"/>
        <w:jc w:val="both"/>
        <w:rPr>
          <w:rFonts w:eastAsia="Times New Roman" w:cs="Calibri"/>
          <w:b/>
          <w:i/>
          <w:color w:val="632423"/>
          <w:sz w:val="24"/>
          <w:szCs w:val="24"/>
        </w:rPr>
      </w:pPr>
      <w:r>
        <w:rPr>
          <w:rFonts w:eastAsia="Times New Roman" w:cs="Calibri"/>
          <w:b/>
          <w:i/>
          <w:color w:val="632423"/>
          <w:sz w:val="24"/>
          <w:szCs w:val="24"/>
        </w:rPr>
        <w:t xml:space="preserve">Ekonomide Kırılgan </w:t>
      </w:r>
      <w:r w:rsidRPr="00D616FB">
        <w:rPr>
          <w:rFonts w:eastAsia="Times New Roman" w:cs="Calibri"/>
          <w:b/>
          <w:i/>
          <w:color w:val="632423"/>
          <w:sz w:val="24"/>
          <w:szCs w:val="24"/>
        </w:rPr>
        <w:t>Toparlanma</w:t>
      </w:r>
      <w:r>
        <w:rPr>
          <w:rFonts w:eastAsia="Times New Roman" w:cs="Calibri"/>
          <w:b/>
          <w:i/>
          <w:color w:val="632423"/>
          <w:sz w:val="24"/>
          <w:szCs w:val="24"/>
        </w:rPr>
        <w:t>…</w:t>
      </w:r>
      <w:r w:rsidRPr="00D616FB">
        <w:rPr>
          <w:rFonts w:eastAsia="Times New Roman" w:cs="Calibri"/>
          <w:b/>
          <w:i/>
          <w:color w:val="632423"/>
          <w:sz w:val="24"/>
          <w:szCs w:val="24"/>
        </w:rPr>
        <w:t xml:space="preserve"> </w:t>
      </w:r>
      <w:r>
        <w:rPr>
          <w:rFonts w:eastAsia="Times New Roman" w:cs="Calibri"/>
          <w:b/>
          <w:i/>
          <w:color w:val="632423"/>
          <w:sz w:val="24"/>
          <w:szCs w:val="24"/>
        </w:rPr>
        <w:t xml:space="preserve"> </w:t>
      </w:r>
    </w:p>
    <w:p w:rsidR="0074332B" w:rsidRPr="00924407" w:rsidRDefault="0074332B" w:rsidP="0074332B">
      <w:pPr>
        <w:autoSpaceDE w:val="0"/>
        <w:autoSpaceDN w:val="0"/>
        <w:adjustRightInd w:val="0"/>
        <w:spacing w:after="0" w:line="240" w:lineRule="auto"/>
        <w:jc w:val="both"/>
        <w:rPr>
          <w:color w:val="000000"/>
        </w:rPr>
      </w:pPr>
    </w:p>
    <w:p w:rsidR="00C23B67" w:rsidRDefault="0074332B" w:rsidP="0074332B">
      <w:pPr>
        <w:autoSpaceDE w:val="0"/>
        <w:autoSpaceDN w:val="0"/>
        <w:adjustRightInd w:val="0"/>
        <w:spacing w:after="0" w:line="240" w:lineRule="auto"/>
        <w:jc w:val="both"/>
        <w:rPr>
          <w:rFonts w:cstheme="minorHAnsi"/>
          <w:color w:val="000000" w:themeColor="text1"/>
        </w:rPr>
      </w:pPr>
      <w:r w:rsidRPr="00702006">
        <w:rPr>
          <w:rFonts w:cstheme="minorHAnsi"/>
          <w:color w:val="000000" w:themeColor="text1"/>
        </w:rPr>
        <w:t>Türkiye</w:t>
      </w:r>
      <w:r>
        <w:rPr>
          <w:rFonts w:cstheme="minorHAnsi"/>
          <w:color w:val="000000" w:themeColor="text1"/>
        </w:rPr>
        <w:t xml:space="preserve"> ekonomisinde</w:t>
      </w:r>
      <w:r w:rsidR="004141D2">
        <w:rPr>
          <w:rFonts w:cstheme="minorHAnsi"/>
          <w:color w:val="000000" w:themeColor="text1"/>
        </w:rPr>
        <w:t>,</w:t>
      </w:r>
      <w:r>
        <w:rPr>
          <w:rFonts w:cstheme="minorHAnsi"/>
          <w:color w:val="000000" w:themeColor="text1"/>
        </w:rPr>
        <w:t xml:space="preserve"> </w:t>
      </w:r>
      <w:r>
        <w:t xml:space="preserve">2018’in son çeyreğinden bu yana yıllık bazda </w:t>
      </w:r>
      <w:r w:rsidR="00091F76">
        <w:rPr>
          <w:rFonts w:cstheme="minorHAnsi"/>
          <w:color w:val="000000" w:themeColor="text1"/>
        </w:rPr>
        <w:t xml:space="preserve">üst üste </w:t>
      </w:r>
      <w:proofErr w:type="gramStart"/>
      <w:r w:rsidR="00091F76">
        <w:rPr>
          <w:rFonts w:cstheme="minorHAnsi"/>
          <w:color w:val="000000" w:themeColor="text1"/>
        </w:rPr>
        <w:t xml:space="preserve">üç </w:t>
      </w:r>
      <w:r>
        <w:rPr>
          <w:rFonts w:cstheme="minorHAnsi"/>
          <w:color w:val="000000" w:themeColor="text1"/>
        </w:rPr>
        <w:t>çeyrek</w:t>
      </w:r>
      <w:proofErr w:type="gramEnd"/>
      <w:r>
        <w:rPr>
          <w:rFonts w:cstheme="minorHAnsi"/>
          <w:color w:val="000000" w:themeColor="text1"/>
        </w:rPr>
        <w:t xml:space="preserve"> dönemdir daralma yaşanmıştır. 2019 yılı ikinci çeyreğinde ekonomik aktivitedeki yavaşlama, ilk çeyrek dönemde de etkili olan kamu harcamaları ve </w:t>
      </w:r>
      <w:r w:rsidR="00C01A2F">
        <w:rPr>
          <w:rFonts w:cstheme="minorHAnsi"/>
          <w:color w:val="000000" w:themeColor="text1"/>
        </w:rPr>
        <w:t xml:space="preserve">net </w:t>
      </w:r>
      <w:r>
        <w:rPr>
          <w:rFonts w:cstheme="minorHAnsi"/>
          <w:color w:val="000000" w:themeColor="text1"/>
        </w:rPr>
        <w:t>ihracat</w:t>
      </w:r>
      <w:r w:rsidR="00C01A2F">
        <w:rPr>
          <w:rFonts w:cstheme="minorHAnsi"/>
          <w:color w:val="000000" w:themeColor="text1"/>
        </w:rPr>
        <w:t>tan</w:t>
      </w:r>
      <w:r>
        <w:rPr>
          <w:rFonts w:cstheme="minorHAnsi"/>
          <w:color w:val="000000" w:themeColor="text1"/>
        </w:rPr>
        <w:t xml:space="preserve"> gelen katkıyla beklenenden düşük </w:t>
      </w:r>
      <w:r w:rsidR="00C36585">
        <w:rPr>
          <w:rFonts w:cstheme="minorHAnsi"/>
          <w:color w:val="000000" w:themeColor="text1"/>
        </w:rPr>
        <w:t>gerçekleşmiş</w:t>
      </w:r>
      <w:r>
        <w:rPr>
          <w:rFonts w:cstheme="minorHAnsi"/>
          <w:color w:val="000000" w:themeColor="text1"/>
        </w:rPr>
        <w:t xml:space="preserve">; </w:t>
      </w:r>
      <w:r w:rsidR="00091F76">
        <w:rPr>
          <w:rFonts w:cstheme="minorHAnsi"/>
          <w:color w:val="000000" w:themeColor="text1"/>
        </w:rPr>
        <w:t xml:space="preserve">özellikle Eylül ayında </w:t>
      </w:r>
      <w:r w:rsidR="004141D2">
        <w:rPr>
          <w:rFonts w:cstheme="minorHAnsi"/>
          <w:color w:val="000000" w:themeColor="text1"/>
        </w:rPr>
        <w:t>açıklanan</w:t>
      </w:r>
      <w:r w:rsidR="00C36585">
        <w:rPr>
          <w:rFonts w:cstheme="minorHAnsi"/>
          <w:color w:val="000000" w:themeColor="text1"/>
        </w:rPr>
        <w:t xml:space="preserve"> veriler de</w:t>
      </w:r>
      <w:r>
        <w:rPr>
          <w:rFonts w:cstheme="minorHAnsi"/>
          <w:color w:val="000000" w:themeColor="text1"/>
        </w:rPr>
        <w:t xml:space="preserve"> ekonomide dipten dönüş sinyalleri olarak yorumlanm</w:t>
      </w:r>
      <w:r w:rsidR="00091F76">
        <w:rPr>
          <w:rFonts w:cstheme="minorHAnsi"/>
          <w:color w:val="000000" w:themeColor="text1"/>
        </w:rPr>
        <w:t>ıştır</w:t>
      </w:r>
      <w:r>
        <w:rPr>
          <w:rFonts w:cstheme="minorHAnsi"/>
          <w:color w:val="000000" w:themeColor="text1"/>
        </w:rPr>
        <w:t xml:space="preserve">. </w:t>
      </w:r>
      <w:r w:rsidR="00C23B67">
        <w:rPr>
          <w:rFonts w:cstheme="minorHAnsi"/>
          <w:color w:val="000000" w:themeColor="text1"/>
        </w:rPr>
        <w:t xml:space="preserve">Ekonomi yönetimi, “dengelenme yılı” olarak adlandırdığı 2019 yılını </w:t>
      </w:r>
      <w:r w:rsidR="004141D2">
        <w:rPr>
          <w:rFonts w:cstheme="minorHAnsi"/>
          <w:color w:val="000000" w:themeColor="text1"/>
        </w:rPr>
        <w:t xml:space="preserve">gerileyen özel tüketimin, yılın ikinci yarısında ivme kazanmasının etkisiyle </w:t>
      </w:r>
      <w:r w:rsidR="00C23B67">
        <w:rPr>
          <w:rFonts w:cstheme="minorHAnsi"/>
          <w:color w:val="000000" w:themeColor="text1"/>
        </w:rPr>
        <w:t>pozitif büyüme ile kapatmayı hedeflemektedir.</w:t>
      </w:r>
    </w:p>
    <w:p w:rsidR="00402F30" w:rsidRDefault="00402F30" w:rsidP="0074332B">
      <w:pPr>
        <w:autoSpaceDE w:val="0"/>
        <w:autoSpaceDN w:val="0"/>
        <w:adjustRightInd w:val="0"/>
        <w:spacing w:after="0" w:line="240" w:lineRule="auto"/>
        <w:jc w:val="both"/>
        <w:rPr>
          <w:rFonts w:cstheme="minorHAnsi"/>
          <w:color w:val="000000" w:themeColor="text1"/>
        </w:rPr>
      </w:pPr>
    </w:p>
    <w:p w:rsidR="0074332B" w:rsidRPr="008E6F76" w:rsidRDefault="0074332B" w:rsidP="0074332B">
      <w:pPr>
        <w:autoSpaceDE w:val="0"/>
        <w:autoSpaceDN w:val="0"/>
        <w:adjustRightInd w:val="0"/>
        <w:spacing w:after="0" w:line="240" w:lineRule="auto"/>
        <w:jc w:val="both"/>
        <w:rPr>
          <w:b/>
          <w:noProof/>
        </w:rPr>
      </w:pPr>
      <w:r w:rsidRPr="008E6F76">
        <w:rPr>
          <w:b/>
          <w:noProof/>
        </w:rPr>
        <w:t>Türkiye Ekonomisi Makro Göstergeler</w:t>
      </w:r>
    </w:p>
    <w:p w:rsidR="0074332B" w:rsidRPr="001F032E" w:rsidRDefault="0074332B" w:rsidP="0074332B">
      <w:pPr>
        <w:autoSpaceDE w:val="0"/>
        <w:autoSpaceDN w:val="0"/>
        <w:adjustRightInd w:val="0"/>
        <w:spacing w:after="0" w:line="240" w:lineRule="auto"/>
        <w:jc w:val="both"/>
        <w:rPr>
          <w:b/>
          <w:noProof/>
          <w:highlight w:val="yellow"/>
        </w:rPr>
      </w:pPr>
    </w:p>
    <w:p w:rsidR="0074332B" w:rsidRPr="001F032E" w:rsidRDefault="00492AE2" w:rsidP="0074332B">
      <w:pPr>
        <w:autoSpaceDE w:val="0"/>
        <w:autoSpaceDN w:val="0"/>
        <w:adjustRightInd w:val="0"/>
        <w:spacing w:after="0" w:line="240" w:lineRule="auto"/>
        <w:jc w:val="both"/>
        <w:rPr>
          <w:b/>
          <w:noProof/>
          <w:highlight w:val="yellow"/>
        </w:rPr>
      </w:pPr>
      <w:r w:rsidRPr="00492AE2">
        <w:rPr>
          <w:noProof/>
        </w:rPr>
        <w:drawing>
          <wp:inline distT="0" distB="0" distL="0" distR="0">
            <wp:extent cx="5026675" cy="2141878"/>
            <wp:effectExtent l="19050" t="0" r="2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1446" cy="2143911"/>
                    </a:xfrm>
                    <a:prstGeom prst="rect">
                      <a:avLst/>
                    </a:prstGeom>
                    <a:noFill/>
                    <a:ln w="9525">
                      <a:noFill/>
                      <a:miter lim="800000"/>
                      <a:headEnd/>
                      <a:tailEnd/>
                    </a:ln>
                  </pic:spPr>
                </pic:pic>
              </a:graphicData>
            </a:graphic>
          </wp:inline>
        </w:drawing>
      </w:r>
    </w:p>
    <w:p w:rsidR="000D3A6C" w:rsidRDefault="000D3A6C" w:rsidP="0074332B">
      <w:pPr>
        <w:autoSpaceDE w:val="0"/>
        <w:autoSpaceDN w:val="0"/>
        <w:adjustRightInd w:val="0"/>
        <w:spacing w:after="0" w:line="240" w:lineRule="auto"/>
        <w:jc w:val="both"/>
        <w:rPr>
          <w:b/>
          <w:i/>
          <w:noProof/>
          <w:sz w:val="20"/>
          <w:szCs w:val="20"/>
        </w:rPr>
      </w:pPr>
    </w:p>
    <w:p w:rsidR="0074332B" w:rsidRDefault="0074332B" w:rsidP="0074332B">
      <w:pPr>
        <w:autoSpaceDE w:val="0"/>
        <w:autoSpaceDN w:val="0"/>
        <w:adjustRightInd w:val="0"/>
        <w:spacing w:after="0" w:line="240" w:lineRule="auto"/>
        <w:jc w:val="both"/>
        <w:rPr>
          <w:b/>
          <w:i/>
          <w:noProof/>
          <w:sz w:val="20"/>
          <w:szCs w:val="20"/>
        </w:rPr>
      </w:pPr>
      <w:r w:rsidRPr="008E6F76">
        <w:rPr>
          <w:b/>
          <w:i/>
          <w:noProof/>
          <w:sz w:val="20"/>
          <w:szCs w:val="20"/>
        </w:rPr>
        <w:t>Kaynak: TÜİK</w:t>
      </w:r>
    </w:p>
    <w:p w:rsidR="0074332B" w:rsidRDefault="0074332B" w:rsidP="0074332B">
      <w:pPr>
        <w:autoSpaceDE w:val="0"/>
        <w:autoSpaceDN w:val="0"/>
        <w:adjustRightInd w:val="0"/>
        <w:spacing w:after="0" w:line="240" w:lineRule="auto"/>
        <w:jc w:val="both"/>
        <w:rPr>
          <w:b/>
          <w:i/>
          <w:noProof/>
          <w:sz w:val="20"/>
          <w:szCs w:val="20"/>
        </w:rPr>
      </w:pPr>
    </w:p>
    <w:p w:rsidR="00A51CDF" w:rsidRDefault="00A51CDF" w:rsidP="00A51CDF">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Yukarıdaki tablo ekonominin, keskin bir daralmanın başladığı 2018 yılının aynı döneminden kaynaklı </w:t>
      </w:r>
      <w:proofErr w:type="gramStart"/>
      <w:r>
        <w:rPr>
          <w:rFonts w:cstheme="minorHAnsi"/>
          <w:color w:val="000000" w:themeColor="text1"/>
        </w:rPr>
        <w:t>baz</w:t>
      </w:r>
      <w:proofErr w:type="gramEnd"/>
      <w:r>
        <w:rPr>
          <w:rFonts w:cstheme="minorHAnsi"/>
          <w:color w:val="000000" w:themeColor="text1"/>
        </w:rPr>
        <w:t xml:space="preserve"> etkisiyle enflasyon ve cari dengede 2019 sonbaharına daha olumlu bir başlangıç gerçekleştirdiğini göstermektedir. </w:t>
      </w:r>
      <w:r w:rsidRPr="000D3A6C">
        <w:rPr>
          <w:rFonts w:cstheme="minorHAnsi"/>
          <w:color w:val="000000" w:themeColor="text1"/>
        </w:rPr>
        <w:t>Eylül ayı enflasyonunda beklendiği üzere tek haneye inilirken, geçen yılın ortasından bu yana iyileşme eğiliminde olan cari denge</w:t>
      </w:r>
      <w:r>
        <w:rPr>
          <w:rFonts w:cstheme="minorHAnsi"/>
          <w:color w:val="000000" w:themeColor="text1"/>
        </w:rPr>
        <w:t>, kronik açık durumundan çıkarak</w:t>
      </w:r>
      <w:r w:rsidR="00A22099">
        <w:rPr>
          <w:rFonts w:cstheme="minorHAnsi"/>
          <w:color w:val="000000" w:themeColor="text1"/>
        </w:rPr>
        <w:t xml:space="preserve"> geçici de olsa</w:t>
      </w:r>
      <w:r>
        <w:rPr>
          <w:rFonts w:cstheme="minorHAnsi"/>
          <w:color w:val="000000" w:themeColor="text1"/>
        </w:rPr>
        <w:t xml:space="preserve"> fazla vermeye başlamış</w:t>
      </w:r>
      <w:r w:rsidR="00A22099">
        <w:rPr>
          <w:rFonts w:cstheme="minorHAnsi"/>
          <w:color w:val="000000" w:themeColor="text1"/>
        </w:rPr>
        <w:t xml:space="preserve">tır. </w:t>
      </w:r>
      <w:r w:rsidRPr="000D3A6C">
        <w:rPr>
          <w:rFonts w:cstheme="minorHAnsi"/>
          <w:color w:val="000000" w:themeColor="text1"/>
        </w:rPr>
        <w:t xml:space="preserve">Bu </w:t>
      </w:r>
      <w:r>
        <w:rPr>
          <w:rFonts w:cstheme="minorHAnsi"/>
          <w:color w:val="000000" w:themeColor="text1"/>
        </w:rPr>
        <w:t xml:space="preserve">göstergelerdeki seyir geçici </w:t>
      </w:r>
      <w:proofErr w:type="gramStart"/>
      <w:r>
        <w:rPr>
          <w:rFonts w:cstheme="minorHAnsi"/>
          <w:color w:val="000000" w:themeColor="text1"/>
        </w:rPr>
        <w:t>baz</w:t>
      </w:r>
      <w:proofErr w:type="gramEnd"/>
      <w:r>
        <w:rPr>
          <w:rFonts w:cstheme="minorHAnsi"/>
          <w:color w:val="000000" w:themeColor="text1"/>
        </w:rPr>
        <w:t xml:space="preserve"> etkisi ve ithalatın yeniden artışa geçmesi gibi nedenlerle </w:t>
      </w:r>
      <w:r w:rsidRPr="000D3A6C">
        <w:rPr>
          <w:rFonts w:cstheme="minorHAnsi"/>
          <w:color w:val="000000" w:themeColor="text1"/>
        </w:rPr>
        <w:t>sürdürülebilir bulunmama</w:t>
      </w:r>
      <w:r>
        <w:rPr>
          <w:rFonts w:cstheme="minorHAnsi"/>
          <w:color w:val="000000" w:themeColor="text1"/>
        </w:rPr>
        <w:t>ktadır.</w:t>
      </w:r>
      <w:r w:rsidR="00A22099">
        <w:rPr>
          <w:rFonts w:cstheme="minorHAnsi"/>
          <w:color w:val="000000" w:themeColor="text1"/>
        </w:rPr>
        <w:t xml:space="preserve"> Öte yandan b</w:t>
      </w:r>
      <w:r>
        <w:rPr>
          <w:rFonts w:cstheme="minorHAnsi"/>
          <w:color w:val="000000" w:themeColor="text1"/>
        </w:rPr>
        <w:t>ütçe disiplini</w:t>
      </w:r>
      <w:r w:rsidRPr="000D3A6C">
        <w:rPr>
          <w:rFonts w:cstheme="minorHAnsi"/>
          <w:color w:val="000000" w:themeColor="text1"/>
        </w:rPr>
        <w:t>, işgücü piyasa</w:t>
      </w:r>
      <w:r>
        <w:rPr>
          <w:rFonts w:cstheme="minorHAnsi"/>
          <w:color w:val="000000" w:themeColor="text1"/>
        </w:rPr>
        <w:t>lar</w:t>
      </w:r>
      <w:r w:rsidRPr="000D3A6C">
        <w:rPr>
          <w:rFonts w:cstheme="minorHAnsi"/>
          <w:color w:val="000000" w:themeColor="text1"/>
        </w:rPr>
        <w:t xml:space="preserve">ı ve </w:t>
      </w:r>
      <w:r>
        <w:rPr>
          <w:rFonts w:cstheme="minorHAnsi"/>
          <w:color w:val="000000" w:themeColor="text1"/>
        </w:rPr>
        <w:t xml:space="preserve">ihracattaki </w:t>
      </w:r>
      <w:r w:rsidRPr="000D3A6C">
        <w:rPr>
          <w:rFonts w:cstheme="minorHAnsi"/>
          <w:color w:val="000000" w:themeColor="text1"/>
        </w:rPr>
        <w:t xml:space="preserve">mevcut görünüm </w:t>
      </w:r>
      <w:r>
        <w:rPr>
          <w:rFonts w:cstheme="minorHAnsi"/>
          <w:color w:val="000000" w:themeColor="text1"/>
        </w:rPr>
        <w:t>de</w:t>
      </w:r>
      <w:r w:rsidRPr="000D3A6C">
        <w:rPr>
          <w:rFonts w:cstheme="minorHAnsi"/>
          <w:color w:val="000000" w:themeColor="text1"/>
        </w:rPr>
        <w:t xml:space="preserve"> </w:t>
      </w:r>
      <w:r>
        <w:rPr>
          <w:rFonts w:cstheme="minorHAnsi"/>
          <w:color w:val="000000" w:themeColor="text1"/>
        </w:rPr>
        <w:t xml:space="preserve">endişeleri artırmaktadır. </w:t>
      </w:r>
    </w:p>
    <w:p w:rsidR="00A51CDF" w:rsidRDefault="00A51CDF" w:rsidP="00923960">
      <w:pPr>
        <w:spacing w:after="0" w:line="240" w:lineRule="auto"/>
        <w:jc w:val="both"/>
        <w:rPr>
          <w:rFonts w:cstheme="minorHAnsi"/>
          <w:color w:val="000000" w:themeColor="text1"/>
        </w:rPr>
      </w:pPr>
    </w:p>
    <w:p w:rsidR="00684AE4" w:rsidRPr="00B6078E" w:rsidRDefault="00C23B67" w:rsidP="001879B9">
      <w:pPr>
        <w:spacing w:after="0" w:line="240" w:lineRule="auto"/>
        <w:jc w:val="both"/>
        <w:rPr>
          <w:rFonts w:cstheme="minorHAnsi"/>
          <w:color w:val="000000" w:themeColor="text1"/>
        </w:rPr>
      </w:pPr>
      <w:r w:rsidRPr="005875B2">
        <w:rPr>
          <w:rFonts w:cstheme="minorHAnsi"/>
          <w:color w:val="000000" w:themeColor="text1"/>
        </w:rPr>
        <w:t xml:space="preserve">Son </w:t>
      </w:r>
      <w:r>
        <w:rPr>
          <w:rFonts w:cstheme="minorHAnsi"/>
          <w:color w:val="000000" w:themeColor="text1"/>
        </w:rPr>
        <w:t>dönemde</w:t>
      </w:r>
      <w:r w:rsidRPr="005875B2">
        <w:rPr>
          <w:rFonts w:cstheme="minorHAnsi"/>
          <w:color w:val="000000" w:themeColor="text1"/>
        </w:rPr>
        <w:t xml:space="preserve"> ekonomiyi </w:t>
      </w:r>
      <w:r w:rsidR="00091F76">
        <w:rPr>
          <w:rFonts w:cstheme="minorHAnsi"/>
          <w:color w:val="000000" w:themeColor="text1"/>
        </w:rPr>
        <w:t xml:space="preserve">canlandırmak </w:t>
      </w:r>
      <w:r>
        <w:rPr>
          <w:rFonts w:cstheme="minorHAnsi"/>
          <w:color w:val="000000" w:themeColor="text1"/>
        </w:rPr>
        <w:t>için</w:t>
      </w:r>
      <w:r w:rsidRPr="005875B2">
        <w:rPr>
          <w:rFonts w:cstheme="minorHAnsi"/>
          <w:color w:val="000000" w:themeColor="text1"/>
        </w:rPr>
        <w:t xml:space="preserve"> alınan </w:t>
      </w:r>
      <w:r>
        <w:rPr>
          <w:rFonts w:cstheme="minorHAnsi"/>
          <w:color w:val="000000" w:themeColor="text1"/>
        </w:rPr>
        <w:t xml:space="preserve">önlemlerin borçlanma </w:t>
      </w:r>
      <w:r w:rsidR="00053E4B">
        <w:rPr>
          <w:rFonts w:cstheme="minorHAnsi"/>
          <w:color w:val="000000" w:themeColor="text1"/>
        </w:rPr>
        <w:t xml:space="preserve">ihtiyacını </w:t>
      </w:r>
      <w:r>
        <w:rPr>
          <w:rFonts w:cstheme="minorHAnsi"/>
          <w:color w:val="000000" w:themeColor="text1"/>
        </w:rPr>
        <w:t xml:space="preserve">artırdığı gözlenmektedir. </w:t>
      </w:r>
      <w:r w:rsidR="00923960" w:rsidRPr="0051698D">
        <w:t>Geçtiğimiz yılın Ocak</w:t>
      </w:r>
      <w:r w:rsidR="00923960">
        <w:t xml:space="preserve"> </w:t>
      </w:r>
      <w:r w:rsidR="00923960" w:rsidRPr="0051698D">
        <w:t>-</w:t>
      </w:r>
      <w:r w:rsidR="00923960">
        <w:t xml:space="preserve"> </w:t>
      </w:r>
      <w:r w:rsidR="00923960" w:rsidRPr="0051698D">
        <w:t>Ağustos döneminde 50,8 milyar TL olan bütçe açığı bu yılın aynı döneminde 68,1 milyar TL’ye çık</w:t>
      </w:r>
      <w:r w:rsidR="00923960">
        <w:t>arken, tek seferlik ge</w:t>
      </w:r>
      <w:r>
        <w:t>lirler hariç tutularak hesaplanan progra</w:t>
      </w:r>
      <w:r w:rsidR="00C842A9">
        <w:t xml:space="preserve">m tanımlı faiz dışı dengedeki </w:t>
      </w:r>
      <w:proofErr w:type="spellStart"/>
      <w:r>
        <w:t>yıllıklandırılmış</w:t>
      </w:r>
      <w:proofErr w:type="spellEnd"/>
      <w:r>
        <w:t xml:space="preserve"> açık da 121,5 milyar TL’ye ulaşmıştır. Ayrıca </w:t>
      </w:r>
      <w:r w:rsidRPr="00620170">
        <w:rPr>
          <w:rFonts w:cstheme="minorHAnsi"/>
          <w:color w:val="000000" w:themeColor="text1"/>
        </w:rPr>
        <w:t>2020</w:t>
      </w:r>
      <w:r>
        <w:rPr>
          <w:rFonts w:cstheme="minorHAnsi"/>
          <w:color w:val="000000" w:themeColor="text1"/>
        </w:rPr>
        <w:t xml:space="preserve"> yılında Hazine’yi yüklü bir borç</w:t>
      </w:r>
      <w:r w:rsidR="00053E4B">
        <w:rPr>
          <w:rFonts w:cstheme="minorHAnsi"/>
          <w:color w:val="000000" w:themeColor="text1"/>
        </w:rPr>
        <w:t xml:space="preserve"> ödemesinin </w:t>
      </w:r>
      <w:r>
        <w:rPr>
          <w:rFonts w:cstheme="minorHAnsi"/>
          <w:color w:val="000000" w:themeColor="text1"/>
        </w:rPr>
        <w:t xml:space="preserve">beklediği, gelecek yıl Hazine’nin yapacağı </w:t>
      </w:r>
      <w:r w:rsidRPr="00620170">
        <w:rPr>
          <w:rFonts w:cstheme="minorHAnsi"/>
          <w:color w:val="000000" w:themeColor="text1"/>
        </w:rPr>
        <w:t>aylık ortalama borç geri ödemesi</w:t>
      </w:r>
      <w:r w:rsidR="00F20E87">
        <w:rPr>
          <w:rFonts w:cstheme="minorHAnsi"/>
          <w:color w:val="000000" w:themeColor="text1"/>
        </w:rPr>
        <w:t>nin</w:t>
      </w:r>
      <w:r>
        <w:rPr>
          <w:rFonts w:cstheme="minorHAnsi"/>
          <w:color w:val="000000" w:themeColor="text1"/>
        </w:rPr>
        <w:t xml:space="preserve"> </w:t>
      </w:r>
      <w:r w:rsidRPr="00620170">
        <w:rPr>
          <w:rFonts w:cstheme="minorHAnsi"/>
          <w:color w:val="000000" w:themeColor="text1"/>
        </w:rPr>
        <w:t>26</w:t>
      </w:r>
      <w:r>
        <w:rPr>
          <w:rFonts w:cstheme="minorHAnsi"/>
          <w:color w:val="000000" w:themeColor="text1"/>
        </w:rPr>
        <w:t>,</w:t>
      </w:r>
      <w:r w:rsidRPr="00620170">
        <w:rPr>
          <w:rFonts w:cstheme="minorHAnsi"/>
          <w:color w:val="000000" w:themeColor="text1"/>
        </w:rPr>
        <w:t xml:space="preserve">9 milyar TL </w:t>
      </w:r>
      <w:r>
        <w:rPr>
          <w:rFonts w:cstheme="minorHAnsi"/>
          <w:color w:val="000000" w:themeColor="text1"/>
        </w:rPr>
        <w:t>ile 2018 ortalaması olan 14,6 milyar TL’nin neredeyse 2 katı ve 2019 yılı ortalaması olan 18,1 milyar TL’nin %50 oranında fazlas</w:t>
      </w:r>
      <w:r w:rsidR="00091F76">
        <w:rPr>
          <w:rFonts w:cstheme="minorHAnsi"/>
          <w:color w:val="000000" w:themeColor="text1"/>
        </w:rPr>
        <w:t>ına işaret et</w:t>
      </w:r>
      <w:r w:rsidR="00F20E87">
        <w:rPr>
          <w:rFonts w:cstheme="minorHAnsi"/>
          <w:color w:val="000000" w:themeColor="text1"/>
        </w:rPr>
        <w:t>tiği belirtilmektedir.</w:t>
      </w:r>
      <w:r w:rsidR="001879B9">
        <w:rPr>
          <w:rFonts w:cstheme="minorHAnsi"/>
          <w:color w:val="000000" w:themeColor="text1"/>
        </w:rPr>
        <w:t xml:space="preserve"> </w:t>
      </w:r>
      <w:r w:rsidR="00684AE4">
        <w:rPr>
          <w:rFonts w:eastAsia="Times New Roman"/>
        </w:rPr>
        <w:t xml:space="preserve">Üstelik kur ve faiz hareketlerine daha duyarlı hale gelen borcun finansmanında FED ve </w:t>
      </w:r>
      <w:proofErr w:type="spellStart"/>
      <w:r w:rsidR="00684AE4">
        <w:rPr>
          <w:rFonts w:eastAsia="Times New Roman"/>
        </w:rPr>
        <w:t>ECB’nin</w:t>
      </w:r>
      <w:proofErr w:type="spellEnd"/>
      <w:r w:rsidR="00684AE4">
        <w:rPr>
          <w:rFonts w:eastAsia="Times New Roman"/>
        </w:rPr>
        <w:t xml:space="preserve"> faiz politikası artık çok daha önemli hale gelmiştir. </w:t>
      </w:r>
      <w:r w:rsidR="00684AE4" w:rsidRPr="00B6078E">
        <w:rPr>
          <w:rFonts w:cstheme="minorHAnsi"/>
          <w:color w:val="000000" w:themeColor="text1"/>
        </w:rPr>
        <w:t xml:space="preserve">Ayrıca petrol piyasasındaki </w:t>
      </w:r>
      <w:r w:rsidR="00F46ED1">
        <w:rPr>
          <w:rFonts w:cstheme="minorHAnsi"/>
          <w:color w:val="000000" w:themeColor="text1"/>
        </w:rPr>
        <w:t>oynak fiyat hareketleri</w:t>
      </w:r>
      <w:r w:rsidR="00684AE4">
        <w:t xml:space="preserve"> Türkiye’nin de aralarında bulunduğu gelişmekte olan ekonomilerde</w:t>
      </w:r>
      <w:r w:rsidR="00684AE4" w:rsidRPr="000F1399">
        <w:t xml:space="preserve"> enerji ithalatı üzerinden cari denge ve enflasyon </w:t>
      </w:r>
      <w:r w:rsidR="00684AE4">
        <w:t>üzerinde baskı</w:t>
      </w:r>
      <w:r w:rsidR="00851A9E">
        <w:t>yı</w:t>
      </w:r>
      <w:r w:rsidR="00F46ED1">
        <w:t xml:space="preserve"> </w:t>
      </w:r>
      <w:r w:rsidR="00851A9E">
        <w:t>artırmış,</w:t>
      </w:r>
      <w:r w:rsidR="00684AE4">
        <w:t xml:space="preserve"> bütçe dengeleri açısından </w:t>
      </w:r>
      <w:r w:rsidR="00851A9E">
        <w:t xml:space="preserve">risk </w:t>
      </w:r>
      <w:r w:rsidR="00684AE4">
        <w:t>yaratmıştır.</w:t>
      </w:r>
    </w:p>
    <w:p w:rsidR="001879B9" w:rsidRDefault="001879B9" w:rsidP="0074332B">
      <w:pPr>
        <w:autoSpaceDE w:val="0"/>
        <w:autoSpaceDN w:val="0"/>
        <w:adjustRightInd w:val="0"/>
        <w:spacing w:after="0" w:line="240" w:lineRule="auto"/>
        <w:jc w:val="both"/>
        <w:rPr>
          <w:rFonts w:cstheme="minorHAnsi"/>
          <w:color w:val="000000" w:themeColor="text1"/>
        </w:rPr>
      </w:pPr>
    </w:p>
    <w:p w:rsidR="005E67AE" w:rsidRDefault="0074332B" w:rsidP="0074332B">
      <w:pPr>
        <w:autoSpaceDE w:val="0"/>
        <w:autoSpaceDN w:val="0"/>
        <w:adjustRightInd w:val="0"/>
        <w:spacing w:after="0" w:line="240" w:lineRule="auto"/>
        <w:jc w:val="both"/>
        <w:rPr>
          <w:rFonts w:cstheme="minorHAnsi"/>
          <w:color w:val="000000" w:themeColor="text1"/>
        </w:rPr>
      </w:pPr>
      <w:r w:rsidRPr="00BE29DA">
        <w:rPr>
          <w:rFonts w:cstheme="minorHAnsi"/>
          <w:color w:val="000000" w:themeColor="text1"/>
        </w:rPr>
        <w:t>Yatırım harcama</w:t>
      </w:r>
      <w:r w:rsidR="00DF0524">
        <w:rPr>
          <w:rFonts w:cstheme="minorHAnsi"/>
          <w:color w:val="000000" w:themeColor="text1"/>
        </w:rPr>
        <w:t>larının son dört çeyrek dönem itibariyle</w:t>
      </w:r>
      <w:r w:rsidRPr="00BE29DA">
        <w:rPr>
          <w:rFonts w:cstheme="minorHAnsi"/>
          <w:color w:val="000000" w:themeColor="text1"/>
        </w:rPr>
        <w:t xml:space="preserve"> gerilemeyi sürdürmesi </w:t>
      </w:r>
      <w:r w:rsidR="00684AE4">
        <w:rPr>
          <w:rFonts w:cstheme="minorHAnsi"/>
          <w:color w:val="000000" w:themeColor="text1"/>
        </w:rPr>
        <w:t xml:space="preserve">ise </w:t>
      </w:r>
      <w:r w:rsidRPr="00BE29DA">
        <w:rPr>
          <w:rFonts w:cstheme="minorHAnsi"/>
          <w:color w:val="000000" w:themeColor="text1"/>
        </w:rPr>
        <w:t xml:space="preserve">potansiyel büyüme hızında artış ve sürdürülebilir büyümenin yakalanması konusunda olumsuz bir görünüm </w:t>
      </w:r>
      <w:r w:rsidR="00CB6704">
        <w:rPr>
          <w:rFonts w:cstheme="minorHAnsi"/>
          <w:color w:val="000000" w:themeColor="text1"/>
        </w:rPr>
        <w:t xml:space="preserve">oluşturmuştur. </w:t>
      </w:r>
      <w:r w:rsidR="005E67AE">
        <w:rPr>
          <w:rFonts w:cstheme="minorHAnsi"/>
          <w:color w:val="000000" w:themeColor="text1"/>
        </w:rPr>
        <w:t>G</w:t>
      </w:r>
      <w:r w:rsidRPr="00BE29DA">
        <w:rPr>
          <w:rFonts w:cstheme="minorHAnsi"/>
          <w:color w:val="000000" w:themeColor="text1"/>
        </w:rPr>
        <w:t>eçtiğimiz dönem kur ve faizdeki gelişmelerden önemli ölçüde etkilenen özel sektörün</w:t>
      </w:r>
      <w:r w:rsidR="005E67AE">
        <w:rPr>
          <w:rFonts w:cstheme="minorHAnsi"/>
          <w:color w:val="000000" w:themeColor="text1"/>
        </w:rPr>
        <w:t>,</w:t>
      </w:r>
      <w:r w:rsidRPr="00BE29DA">
        <w:rPr>
          <w:rFonts w:cstheme="minorHAnsi"/>
          <w:color w:val="000000" w:themeColor="text1"/>
        </w:rPr>
        <w:t xml:space="preserve"> </w:t>
      </w:r>
      <w:r w:rsidR="005E67AE">
        <w:rPr>
          <w:rFonts w:cstheme="minorHAnsi"/>
          <w:color w:val="000000" w:themeColor="text1"/>
        </w:rPr>
        <w:t xml:space="preserve">yüksek </w:t>
      </w:r>
      <w:r w:rsidR="005E67AE" w:rsidRPr="00DB1D85">
        <w:rPr>
          <w:rFonts w:cstheme="minorHAnsi"/>
          <w:color w:val="000000" w:themeColor="text1"/>
        </w:rPr>
        <w:t>döviz borcu ve finansman ihtiyacı</w:t>
      </w:r>
      <w:r w:rsidR="005E67AE">
        <w:rPr>
          <w:rFonts w:cstheme="minorHAnsi"/>
          <w:color w:val="000000" w:themeColor="text1"/>
        </w:rPr>
        <w:t xml:space="preserve"> artarken; yatırım talebindeki düşüş il</w:t>
      </w:r>
      <w:r w:rsidRPr="00684AE4">
        <w:rPr>
          <w:rFonts w:cstheme="minorHAnsi"/>
          <w:color w:val="000000" w:themeColor="text1"/>
        </w:rPr>
        <w:t xml:space="preserve">e kredi </w:t>
      </w:r>
      <w:r w:rsidRPr="00684AE4">
        <w:rPr>
          <w:rFonts w:cstheme="minorHAnsi"/>
          <w:color w:val="000000" w:themeColor="text1"/>
        </w:rPr>
        <w:lastRenderedPageBreak/>
        <w:t xml:space="preserve">arzındaki tıkanma </w:t>
      </w:r>
      <w:r w:rsidR="00091F76">
        <w:rPr>
          <w:rFonts w:cstheme="minorHAnsi"/>
          <w:color w:val="000000" w:themeColor="text1"/>
        </w:rPr>
        <w:t xml:space="preserve">sorunları </w:t>
      </w:r>
      <w:r w:rsidRPr="00684AE4">
        <w:rPr>
          <w:rFonts w:cstheme="minorHAnsi"/>
          <w:color w:val="000000" w:themeColor="text1"/>
        </w:rPr>
        <w:t>öne çıkmıştır.</w:t>
      </w:r>
      <w:r w:rsidR="005E67AE">
        <w:rPr>
          <w:rFonts w:cstheme="minorHAnsi"/>
          <w:color w:val="000000" w:themeColor="text1"/>
        </w:rPr>
        <w:t xml:space="preserve"> </w:t>
      </w:r>
      <w:r w:rsidRPr="00684AE4">
        <w:t>Yılın ilk yarısında kamu ve özel sektör borçlarının milli gelire oranının %142’ye çıktığı, 2002 yılında kamunun %75,6 oranında</w:t>
      </w:r>
      <w:r w:rsidR="00091F76">
        <w:t>ki</w:t>
      </w:r>
      <w:r w:rsidRPr="00684AE4">
        <w:t xml:space="preserve"> borç yükünü bugün %108,5 oranıyla özel sektörün taşıdığı görülmektedir. </w:t>
      </w:r>
      <w:r w:rsidRPr="00684AE4">
        <w:rPr>
          <w:rFonts w:cstheme="minorHAnsi"/>
          <w:color w:val="000000" w:themeColor="text1"/>
        </w:rPr>
        <w:t xml:space="preserve"> </w:t>
      </w:r>
      <w:proofErr w:type="spellStart"/>
      <w:r w:rsidRPr="00684AE4">
        <w:rPr>
          <w:rFonts w:cstheme="minorHAnsi"/>
          <w:color w:val="000000" w:themeColor="text1"/>
        </w:rPr>
        <w:t>TCMB’nin</w:t>
      </w:r>
      <w:proofErr w:type="spellEnd"/>
      <w:r w:rsidRPr="00684AE4">
        <w:rPr>
          <w:rFonts w:cstheme="minorHAnsi"/>
          <w:color w:val="000000" w:themeColor="text1"/>
        </w:rPr>
        <w:t xml:space="preserve"> Temmuz 2019 verileri</w:t>
      </w:r>
      <w:r w:rsidR="00684AE4" w:rsidRPr="00684AE4">
        <w:rPr>
          <w:rFonts w:cstheme="minorHAnsi"/>
          <w:color w:val="000000" w:themeColor="text1"/>
        </w:rPr>
        <w:t>ne göre</w:t>
      </w:r>
      <w:r w:rsidRPr="00684AE4">
        <w:rPr>
          <w:rFonts w:cstheme="minorHAnsi"/>
          <w:color w:val="000000" w:themeColor="text1"/>
        </w:rPr>
        <w:t xml:space="preserve">; özel sektörün </w:t>
      </w:r>
      <w:r w:rsidR="00DF0524">
        <w:rPr>
          <w:rFonts w:cstheme="minorHAnsi"/>
          <w:color w:val="000000" w:themeColor="text1"/>
        </w:rPr>
        <w:t xml:space="preserve">uzun ve kısa vadeli yurtdışı kredi </w:t>
      </w:r>
      <w:r w:rsidR="00684AE4" w:rsidRPr="00684AE4">
        <w:rPr>
          <w:rFonts w:cstheme="minorHAnsi"/>
          <w:color w:val="000000" w:themeColor="text1"/>
        </w:rPr>
        <w:t xml:space="preserve">borcu </w:t>
      </w:r>
      <w:r w:rsidR="00DF0524">
        <w:rPr>
          <w:rFonts w:cstheme="minorHAnsi"/>
          <w:color w:val="000000" w:themeColor="text1"/>
        </w:rPr>
        <w:t>sırasıyla</w:t>
      </w:r>
      <w:r w:rsidRPr="00684AE4">
        <w:rPr>
          <w:rFonts w:cstheme="minorHAnsi"/>
          <w:color w:val="000000" w:themeColor="text1"/>
        </w:rPr>
        <w:t xml:space="preserve"> 198,5 milyar ABD Doları</w:t>
      </w:r>
      <w:r w:rsidR="00684AE4" w:rsidRPr="00684AE4">
        <w:rPr>
          <w:rFonts w:cstheme="minorHAnsi"/>
          <w:color w:val="000000" w:themeColor="text1"/>
        </w:rPr>
        <w:t xml:space="preserve"> ve </w:t>
      </w:r>
      <w:r w:rsidRPr="00684AE4">
        <w:rPr>
          <w:rFonts w:cstheme="minorHAnsi"/>
          <w:color w:val="000000" w:themeColor="text1"/>
        </w:rPr>
        <w:t>12,9 milyar ABD Doları seviyesin</w:t>
      </w:r>
      <w:r w:rsidR="00684AE4" w:rsidRPr="00684AE4">
        <w:rPr>
          <w:rFonts w:cstheme="minorHAnsi"/>
          <w:color w:val="000000" w:themeColor="text1"/>
        </w:rPr>
        <w:t>dedir.</w:t>
      </w:r>
      <w:r w:rsidR="005E67AE">
        <w:rPr>
          <w:rFonts w:cstheme="minorHAnsi"/>
          <w:color w:val="000000" w:themeColor="text1"/>
        </w:rPr>
        <w:t xml:space="preserve"> </w:t>
      </w:r>
    </w:p>
    <w:p w:rsidR="005E67AE" w:rsidRDefault="005E67AE" w:rsidP="0074332B">
      <w:pPr>
        <w:autoSpaceDE w:val="0"/>
        <w:autoSpaceDN w:val="0"/>
        <w:adjustRightInd w:val="0"/>
        <w:spacing w:after="0" w:line="240" w:lineRule="auto"/>
        <w:jc w:val="both"/>
        <w:rPr>
          <w:rFonts w:cstheme="minorHAnsi"/>
          <w:color w:val="000000" w:themeColor="text1"/>
        </w:rPr>
      </w:pPr>
    </w:p>
    <w:p w:rsidR="00B8229A" w:rsidRDefault="00352C41" w:rsidP="0074332B">
      <w:pPr>
        <w:autoSpaceDE w:val="0"/>
        <w:autoSpaceDN w:val="0"/>
        <w:adjustRightInd w:val="0"/>
        <w:spacing w:after="0" w:line="240" w:lineRule="auto"/>
        <w:jc w:val="both"/>
        <w:rPr>
          <w:rFonts w:cstheme="minorHAnsi"/>
          <w:color w:val="000000" w:themeColor="text1"/>
        </w:rPr>
      </w:pPr>
      <w:r w:rsidRPr="00352C41">
        <w:rPr>
          <w:rFonts w:cstheme="minorHAnsi"/>
          <w:color w:val="000000" w:themeColor="text1"/>
        </w:rPr>
        <w:t xml:space="preserve">Dolayısıyla finansal koşulların ne ölçüde iyileşeceği, bankacılık kredi hacminin ne kadar yükseleceği ve dış talep koşullarının nasıl seyredeceği önümüzdeki dönemde büyük önem taşımaktadır. </w:t>
      </w:r>
      <w:r w:rsidRPr="00352C41">
        <w:t xml:space="preserve">Bu çerçevede </w:t>
      </w:r>
      <w:r w:rsidR="005E67AE">
        <w:t xml:space="preserve">de </w:t>
      </w:r>
      <w:r w:rsidRPr="00352C41">
        <w:t>borçların yeniden yapılandırılması ve k</w:t>
      </w:r>
      <w:r w:rsidRPr="00352C41">
        <w:rPr>
          <w:rFonts w:cstheme="minorHAnsi"/>
          <w:color w:val="000000" w:themeColor="text1"/>
        </w:rPr>
        <w:t xml:space="preserve">redi musluklarının yeniden açılmasıyla piyasanın canlandırılmasına yönelik </w:t>
      </w:r>
      <w:r w:rsidR="005E67AE">
        <w:rPr>
          <w:rFonts w:cstheme="minorHAnsi"/>
          <w:color w:val="000000" w:themeColor="text1"/>
        </w:rPr>
        <w:t>adımlar izlenmektedir.</w:t>
      </w:r>
    </w:p>
    <w:p w:rsidR="0074332B" w:rsidRDefault="00B8229A" w:rsidP="0074332B">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 </w:t>
      </w:r>
    </w:p>
    <w:p w:rsidR="0074332B" w:rsidRDefault="0074332B" w:rsidP="0074332B">
      <w:pPr>
        <w:autoSpaceDE w:val="0"/>
        <w:autoSpaceDN w:val="0"/>
        <w:adjustRightInd w:val="0"/>
        <w:spacing w:after="0" w:line="240" w:lineRule="auto"/>
        <w:jc w:val="both"/>
        <w:rPr>
          <w:rFonts w:cstheme="minorHAnsi"/>
          <w:color w:val="000000" w:themeColor="text1"/>
        </w:rPr>
      </w:pPr>
      <w:r>
        <w:rPr>
          <w:rFonts w:cstheme="minorHAnsi"/>
          <w:color w:val="000000" w:themeColor="text1"/>
        </w:rPr>
        <w:t>Firmaların banka borçlarının yeniden yapılandırılması amacıyla Temmuz ayında Resmi Gazete’de yayımlanan ve “Yeni İstanbul Yaklaşımı” olarak adlandırılan düzenleme özel sektörde heyecan yaratmış</w:t>
      </w:r>
      <w:r w:rsidR="00091F76">
        <w:rPr>
          <w:rFonts w:cstheme="minorHAnsi"/>
          <w:color w:val="000000" w:themeColor="text1"/>
        </w:rPr>
        <w:t>sa da</w:t>
      </w:r>
      <w:r w:rsidR="00951B93">
        <w:rPr>
          <w:rFonts w:cstheme="minorHAnsi"/>
          <w:color w:val="000000" w:themeColor="text1"/>
        </w:rPr>
        <w:t xml:space="preserve"> </w:t>
      </w:r>
      <w:r w:rsidR="00012C7B">
        <w:rPr>
          <w:rFonts w:cstheme="minorHAnsi"/>
          <w:color w:val="000000" w:themeColor="text1"/>
        </w:rPr>
        <w:t xml:space="preserve">beklentiler tam olarak karşılanamamıştır. </w:t>
      </w:r>
      <w:r w:rsidR="00053E4B">
        <w:rPr>
          <w:rFonts w:cstheme="minorHAnsi"/>
          <w:color w:val="000000" w:themeColor="text1"/>
        </w:rPr>
        <w:t>Sektör temsilcileri</w:t>
      </w:r>
      <w:r w:rsidR="005E67AE">
        <w:rPr>
          <w:rFonts w:cstheme="minorHAnsi"/>
          <w:color w:val="000000" w:themeColor="text1"/>
        </w:rPr>
        <w:t>,</w:t>
      </w:r>
      <w:r w:rsidR="00053E4B">
        <w:rPr>
          <w:rFonts w:cstheme="minorHAnsi"/>
          <w:color w:val="000000" w:themeColor="text1"/>
        </w:rPr>
        <w:t xml:space="preserve"> özellikle süreçte uygunluk taşımayan işletmelerin akıbetinin belirsizliği ve bankaların sağlıklı müşterilerine vereceği kredi paketinin bu süreçten olumsuz etkilenebileceği gibi konular</w:t>
      </w:r>
      <w:r w:rsidR="00402F30">
        <w:rPr>
          <w:rFonts w:cstheme="minorHAnsi"/>
          <w:color w:val="000000" w:themeColor="text1"/>
        </w:rPr>
        <w:t>a dikkat çekmektedir.</w:t>
      </w:r>
    </w:p>
    <w:p w:rsidR="00A22099" w:rsidRDefault="00A22099" w:rsidP="0074332B">
      <w:pPr>
        <w:autoSpaceDE w:val="0"/>
        <w:autoSpaceDN w:val="0"/>
        <w:adjustRightInd w:val="0"/>
        <w:spacing w:after="0" w:line="240" w:lineRule="auto"/>
        <w:jc w:val="both"/>
        <w:rPr>
          <w:rFonts w:cstheme="minorHAnsi"/>
          <w:color w:val="000000" w:themeColor="text1"/>
        </w:rPr>
      </w:pPr>
    </w:p>
    <w:p w:rsidR="00C01A2F" w:rsidRDefault="005E67AE" w:rsidP="00973663">
      <w:pPr>
        <w:autoSpaceDE w:val="0"/>
        <w:autoSpaceDN w:val="0"/>
        <w:adjustRightInd w:val="0"/>
        <w:spacing w:after="0" w:line="240" w:lineRule="auto"/>
        <w:jc w:val="both"/>
      </w:pPr>
      <w:r>
        <w:t xml:space="preserve">Yine bu çerçevede </w:t>
      </w:r>
      <w:r w:rsidR="0074332B">
        <w:t>Bankacı</w:t>
      </w:r>
      <w:r w:rsidR="002E12BE">
        <w:t>lık Düzenleme ve Denetleme Kurum</w:t>
      </w:r>
      <w:r w:rsidR="0074332B">
        <w:t xml:space="preserve">u (BDDK) </w:t>
      </w:r>
      <w:r w:rsidR="00C01A2F">
        <w:t>Eylül ayında bankacılık sektöründe takip hesaplarına aktarılması gereken, ağırlıklı olarak inşaat ve enerji sektörlerine kullandırılmış toplam 46 milyar TL büyüklüğünde kredi tespit ettiğini bildirmiş</w:t>
      </w:r>
      <w:r>
        <w:t>tir. Kurum</w:t>
      </w:r>
      <w:r w:rsidR="00C01A2F">
        <w:t xml:space="preserve">, bankalara yılsonuna kadar söz konusu krediler için gerekli sınıflama değişikliklerini yaparak kredi zarar karşılıklarının ayrılması konusunda bildirimde bulunmuştur. </w:t>
      </w:r>
      <w:r>
        <w:t>Yapılan açıklama</w:t>
      </w:r>
      <w:r w:rsidR="00C01A2F">
        <w:t>da</w:t>
      </w:r>
      <w:r>
        <w:t>,</w:t>
      </w:r>
      <w:r w:rsidR="00091F76">
        <w:t xml:space="preserve"> gerekçe olarak </w:t>
      </w:r>
      <w:r w:rsidR="00C01A2F">
        <w:t xml:space="preserve">Temmuz 2019 itibariyle sektörün %18,2 olan sermaye yeterlilik </w:t>
      </w:r>
      <w:proofErr w:type="spellStart"/>
      <w:r w:rsidR="00C01A2F">
        <w:t>rasyosunun</w:t>
      </w:r>
      <w:proofErr w:type="spellEnd"/>
      <w:r w:rsidR="00973663">
        <w:t xml:space="preserve"> </w:t>
      </w:r>
      <w:r w:rsidR="00C01A2F">
        <w:t xml:space="preserve">%17,7 seviyesine gerilediği, takibe dönüşüm oranının ise </w:t>
      </w:r>
      <w:r w:rsidR="00973663">
        <w:t>%</w:t>
      </w:r>
      <w:r w:rsidR="00C01A2F">
        <w:t xml:space="preserve">4,6'dan </w:t>
      </w:r>
      <w:r w:rsidR="00973663">
        <w:t>%</w:t>
      </w:r>
      <w:r w:rsidR="00C01A2F">
        <w:t xml:space="preserve">6,3 seviyesine yükseldiği </w:t>
      </w:r>
      <w:r w:rsidR="00973663">
        <w:t xml:space="preserve">kaydedilmiş; yeterlilik </w:t>
      </w:r>
      <w:proofErr w:type="spellStart"/>
      <w:r w:rsidR="00973663">
        <w:t>rasyosundaki</w:t>
      </w:r>
      <w:proofErr w:type="spellEnd"/>
      <w:r w:rsidR="00973663">
        <w:t xml:space="preserve"> seviyenin %8 olan </w:t>
      </w:r>
      <w:proofErr w:type="spellStart"/>
      <w:r w:rsidR="00C01A2F">
        <w:t>Basel</w:t>
      </w:r>
      <w:proofErr w:type="spellEnd"/>
      <w:r w:rsidR="00C01A2F">
        <w:t xml:space="preserve"> </w:t>
      </w:r>
      <w:r w:rsidR="00431D82">
        <w:t>3</w:t>
      </w:r>
      <w:r w:rsidR="00C01A2F">
        <w:t xml:space="preserve"> </w:t>
      </w:r>
      <w:proofErr w:type="gramStart"/>
      <w:r w:rsidR="00C01A2F">
        <w:t>kriter</w:t>
      </w:r>
      <w:r w:rsidR="00973663">
        <w:t>i</w:t>
      </w:r>
      <w:proofErr w:type="gramEnd"/>
      <w:r w:rsidR="00973663">
        <w:t xml:space="preserve"> ve  %12 olan Türkiye’nin kendi kriterinin de üstünde olduğu belirtilmiştir. BDDK, “Y</w:t>
      </w:r>
      <w:r w:rsidR="00C01A2F">
        <w:t>apılan çalışmalar bir bütün olarak sektörün sağlıklı ve güçlü yapısını koruduğunu ve mevcut sermaye yapısının aktif kalitesi kaynaklı riskleri rahatlıkla yönetebilecek seviyede olduğunu göstermektedir</w:t>
      </w:r>
      <w:r w:rsidR="00973663">
        <w:t>” ifadesini kullanmıştır.</w:t>
      </w:r>
    </w:p>
    <w:p w:rsidR="00C01A2F" w:rsidRDefault="00C01A2F" w:rsidP="00C01A2F">
      <w:pPr>
        <w:autoSpaceDE w:val="0"/>
        <w:autoSpaceDN w:val="0"/>
        <w:adjustRightInd w:val="0"/>
        <w:spacing w:after="0" w:line="240" w:lineRule="auto"/>
        <w:jc w:val="both"/>
      </w:pPr>
    </w:p>
    <w:p w:rsidR="0074332B" w:rsidRDefault="0074332B" w:rsidP="0074332B">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Uluslararası kredi derecelendirme kuruluşları </w:t>
      </w:r>
      <w:proofErr w:type="spellStart"/>
      <w:r>
        <w:rPr>
          <w:rFonts w:cstheme="minorHAnsi"/>
          <w:color w:val="000000" w:themeColor="text1"/>
        </w:rPr>
        <w:t>Moody’s</w:t>
      </w:r>
      <w:proofErr w:type="spellEnd"/>
      <w:r>
        <w:rPr>
          <w:rFonts w:cstheme="minorHAnsi"/>
          <w:color w:val="000000" w:themeColor="text1"/>
        </w:rPr>
        <w:t xml:space="preserve"> ve </w:t>
      </w:r>
      <w:proofErr w:type="spellStart"/>
      <w:r>
        <w:rPr>
          <w:rFonts w:cstheme="minorHAnsi"/>
          <w:color w:val="000000" w:themeColor="text1"/>
        </w:rPr>
        <w:t>Fitch</w:t>
      </w:r>
      <w:proofErr w:type="spellEnd"/>
      <w:r>
        <w:rPr>
          <w:rFonts w:cstheme="minorHAnsi"/>
          <w:color w:val="000000" w:themeColor="text1"/>
        </w:rPr>
        <w:t xml:space="preserve"> </w:t>
      </w:r>
      <w:proofErr w:type="spellStart"/>
      <w:r>
        <w:rPr>
          <w:rFonts w:cstheme="minorHAnsi"/>
          <w:color w:val="000000" w:themeColor="text1"/>
        </w:rPr>
        <w:t>Ratings</w:t>
      </w:r>
      <w:proofErr w:type="spellEnd"/>
      <w:r>
        <w:rPr>
          <w:rFonts w:cstheme="minorHAnsi"/>
          <w:color w:val="000000" w:themeColor="text1"/>
        </w:rPr>
        <w:t xml:space="preserve">, kararın </w:t>
      </w:r>
      <w:r w:rsidRPr="00551A7A">
        <w:rPr>
          <w:rFonts w:cstheme="minorHAnsi"/>
          <w:color w:val="000000" w:themeColor="text1"/>
        </w:rPr>
        <w:t>Türk bankacılık sistemi üzerindeki tahsili geçmiş alacakların varlığı nedeniyle sektörün sermaye ve karlılıkları ve piyasa güveni üzerinde olumsuz etki yarattığını</w:t>
      </w:r>
      <w:r w:rsidR="00BF1664">
        <w:rPr>
          <w:rFonts w:cstheme="minorHAnsi"/>
          <w:color w:val="000000" w:themeColor="text1"/>
        </w:rPr>
        <w:t>;</w:t>
      </w:r>
      <w:r w:rsidR="000D3A6C">
        <w:rPr>
          <w:rFonts w:cstheme="minorHAnsi"/>
          <w:color w:val="000000" w:themeColor="text1"/>
        </w:rPr>
        <w:t xml:space="preserve"> </w:t>
      </w:r>
      <w:r w:rsidRPr="00551A7A">
        <w:rPr>
          <w:rFonts w:cstheme="minorHAnsi"/>
          <w:color w:val="000000" w:themeColor="text1"/>
        </w:rPr>
        <w:t>JP Morgan</w:t>
      </w:r>
      <w:r>
        <w:rPr>
          <w:rFonts w:cstheme="minorHAnsi"/>
          <w:color w:val="000000" w:themeColor="text1"/>
        </w:rPr>
        <w:t xml:space="preserve"> ise</w:t>
      </w:r>
      <w:r w:rsidRPr="00551A7A">
        <w:rPr>
          <w:rFonts w:cstheme="minorHAnsi"/>
          <w:color w:val="000000" w:themeColor="text1"/>
        </w:rPr>
        <w:t xml:space="preserve"> </w:t>
      </w:r>
      <w:r>
        <w:rPr>
          <w:rFonts w:cstheme="minorHAnsi"/>
          <w:color w:val="000000" w:themeColor="text1"/>
        </w:rPr>
        <w:t xml:space="preserve">talebin </w:t>
      </w:r>
      <w:r w:rsidRPr="00551A7A">
        <w:rPr>
          <w:rFonts w:cstheme="minorHAnsi"/>
          <w:color w:val="000000" w:themeColor="text1"/>
        </w:rPr>
        <w:t>bankacılık sektörü için yönetilebilir bir e</w:t>
      </w:r>
      <w:r>
        <w:rPr>
          <w:rFonts w:cstheme="minorHAnsi"/>
          <w:color w:val="000000" w:themeColor="text1"/>
        </w:rPr>
        <w:t>tkisini</w:t>
      </w:r>
      <w:r w:rsidR="00B8229A">
        <w:rPr>
          <w:rFonts w:cstheme="minorHAnsi"/>
          <w:color w:val="000000" w:themeColor="text1"/>
        </w:rPr>
        <w:t>n olmasının beklendiğini</w:t>
      </w:r>
      <w:r>
        <w:rPr>
          <w:rFonts w:cstheme="minorHAnsi"/>
          <w:color w:val="000000" w:themeColor="text1"/>
        </w:rPr>
        <w:t xml:space="preserve"> açıklamıştır.  </w:t>
      </w:r>
    </w:p>
    <w:p w:rsidR="0074332B" w:rsidRDefault="0074332B" w:rsidP="0074332B">
      <w:pPr>
        <w:autoSpaceDE w:val="0"/>
        <w:autoSpaceDN w:val="0"/>
        <w:adjustRightInd w:val="0"/>
        <w:spacing w:after="0" w:line="240" w:lineRule="auto"/>
        <w:jc w:val="both"/>
        <w:rPr>
          <w:rFonts w:cstheme="minorHAnsi"/>
          <w:color w:val="000000" w:themeColor="text1"/>
        </w:rPr>
      </w:pPr>
    </w:p>
    <w:p w:rsidR="00684AE4" w:rsidRDefault="005E67AE" w:rsidP="00684AE4">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Ayrıca </w:t>
      </w:r>
      <w:r w:rsidR="00091F76">
        <w:rPr>
          <w:rFonts w:cstheme="minorHAnsi"/>
          <w:color w:val="000000" w:themeColor="text1"/>
        </w:rPr>
        <w:t xml:space="preserve">geçtiğimiz dönem </w:t>
      </w:r>
      <w:r>
        <w:rPr>
          <w:rFonts w:cstheme="minorHAnsi"/>
          <w:color w:val="000000" w:themeColor="text1"/>
        </w:rPr>
        <w:t xml:space="preserve">ekonomik hedeflerde </w:t>
      </w:r>
      <w:r w:rsidR="00684AE4">
        <w:rPr>
          <w:rFonts w:cstheme="minorHAnsi"/>
          <w:color w:val="000000" w:themeColor="text1"/>
        </w:rPr>
        <w:t>önemli sapmalar yaşanması</w:t>
      </w:r>
      <w:r w:rsidR="00091F76">
        <w:rPr>
          <w:rFonts w:cstheme="minorHAnsi"/>
          <w:color w:val="000000" w:themeColor="text1"/>
        </w:rPr>
        <w:t>nın</w:t>
      </w:r>
      <w:r w:rsidR="00684AE4">
        <w:rPr>
          <w:rFonts w:cstheme="minorHAnsi"/>
          <w:color w:val="000000" w:themeColor="text1"/>
        </w:rPr>
        <w:t xml:space="preserve"> ve uygulamalarda </w:t>
      </w:r>
      <w:r>
        <w:rPr>
          <w:rFonts w:cstheme="minorHAnsi"/>
          <w:color w:val="000000" w:themeColor="text1"/>
        </w:rPr>
        <w:t xml:space="preserve">izlenen </w:t>
      </w:r>
      <w:r w:rsidR="00684AE4">
        <w:rPr>
          <w:rFonts w:cstheme="minorHAnsi"/>
          <w:color w:val="000000" w:themeColor="text1"/>
        </w:rPr>
        <w:t>kimi tutarsızlıklar</w:t>
      </w:r>
      <w:r w:rsidR="00091F76">
        <w:rPr>
          <w:rFonts w:cstheme="minorHAnsi"/>
          <w:color w:val="000000" w:themeColor="text1"/>
        </w:rPr>
        <w:t>ın</w:t>
      </w:r>
      <w:r w:rsidR="00684AE4">
        <w:rPr>
          <w:rFonts w:cstheme="minorHAnsi"/>
          <w:color w:val="000000" w:themeColor="text1"/>
        </w:rPr>
        <w:t xml:space="preserve"> ileriye dönük planlara olan inancı azalt</w:t>
      </w:r>
      <w:r w:rsidR="00091F76">
        <w:rPr>
          <w:rFonts w:cstheme="minorHAnsi"/>
          <w:color w:val="000000" w:themeColor="text1"/>
        </w:rPr>
        <w:t xml:space="preserve">tığı belirtilmiştir. Bu çerçevede </w:t>
      </w:r>
      <w:r w:rsidR="00684AE4">
        <w:rPr>
          <w:rFonts w:cstheme="minorHAnsi"/>
          <w:color w:val="000000" w:themeColor="text1"/>
        </w:rPr>
        <w:t xml:space="preserve">Türkiye ekonomisine yönelik </w:t>
      </w:r>
      <w:r w:rsidR="00091F76">
        <w:rPr>
          <w:rFonts w:cstheme="minorHAnsi"/>
          <w:color w:val="000000" w:themeColor="text1"/>
        </w:rPr>
        <w:t xml:space="preserve">dış talep </w:t>
      </w:r>
      <w:r>
        <w:rPr>
          <w:rFonts w:cstheme="minorHAnsi"/>
          <w:color w:val="000000" w:themeColor="text1"/>
        </w:rPr>
        <w:t xml:space="preserve">de </w:t>
      </w:r>
      <w:r w:rsidR="00091F76">
        <w:rPr>
          <w:rFonts w:cstheme="minorHAnsi"/>
          <w:color w:val="000000" w:themeColor="text1"/>
        </w:rPr>
        <w:t>zayıf seyretmektedi</w:t>
      </w:r>
      <w:r w:rsidR="00EB6463">
        <w:rPr>
          <w:rFonts w:cstheme="minorHAnsi"/>
          <w:color w:val="000000" w:themeColor="text1"/>
        </w:rPr>
        <w:t>r.</w:t>
      </w:r>
      <w:r w:rsidR="00684AE4">
        <w:rPr>
          <w:rFonts w:cstheme="minorHAnsi"/>
          <w:color w:val="000000" w:themeColor="text1"/>
        </w:rPr>
        <w:t xml:space="preserve"> TCMB verilerine göre</w:t>
      </w:r>
      <w:r w:rsidR="00CB6704">
        <w:rPr>
          <w:rFonts w:cstheme="minorHAnsi"/>
          <w:color w:val="000000" w:themeColor="text1"/>
        </w:rPr>
        <w:t>;</w:t>
      </w:r>
      <w:r w:rsidR="00684AE4">
        <w:rPr>
          <w:rFonts w:cstheme="minorHAnsi"/>
          <w:color w:val="000000" w:themeColor="text1"/>
        </w:rPr>
        <w:t xml:space="preserve"> bu yılın ilk yarısındaki doğrudan yatırımların </w:t>
      </w:r>
      <w:r w:rsidR="00DF0524">
        <w:rPr>
          <w:rFonts w:cstheme="minorHAnsi"/>
          <w:color w:val="000000" w:themeColor="text1"/>
        </w:rPr>
        <w:t>tutarı</w:t>
      </w:r>
      <w:r w:rsidR="00684AE4">
        <w:rPr>
          <w:rFonts w:cstheme="minorHAnsi"/>
          <w:color w:val="000000" w:themeColor="text1"/>
        </w:rPr>
        <w:t xml:space="preserve"> 3,1 milyar ABD Doları olurken, bunun 2,2 milyar ABD Doları olan kısmının gayrimenkul satış</w:t>
      </w:r>
      <w:r w:rsidR="00091F76">
        <w:rPr>
          <w:rFonts w:cstheme="minorHAnsi"/>
          <w:color w:val="000000" w:themeColor="text1"/>
        </w:rPr>
        <w:t>larından oluştuğu dikkat çekmiştir.</w:t>
      </w:r>
    </w:p>
    <w:p w:rsidR="0016079D" w:rsidRDefault="0016079D" w:rsidP="00684AE4">
      <w:pPr>
        <w:autoSpaceDE w:val="0"/>
        <w:autoSpaceDN w:val="0"/>
        <w:adjustRightInd w:val="0"/>
        <w:spacing w:after="0" w:line="240" w:lineRule="auto"/>
        <w:jc w:val="both"/>
        <w:rPr>
          <w:rFonts w:cstheme="minorHAnsi"/>
          <w:color w:val="000000" w:themeColor="text1"/>
        </w:rPr>
      </w:pPr>
    </w:p>
    <w:p w:rsidR="0016079D" w:rsidRDefault="0016079D" w:rsidP="0016079D">
      <w:pPr>
        <w:autoSpaceDE w:val="0"/>
        <w:autoSpaceDN w:val="0"/>
        <w:adjustRightInd w:val="0"/>
        <w:spacing w:after="0" w:line="240" w:lineRule="auto"/>
        <w:jc w:val="both"/>
      </w:pPr>
      <w:r>
        <w:rPr>
          <w:rFonts w:cstheme="minorHAnsi"/>
          <w:color w:val="000000" w:themeColor="text1"/>
        </w:rPr>
        <w:t xml:space="preserve">Öte yandan, </w:t>
      </w:r>
      <w:r w:rsidR="005E67AE">
        <w:rPr>
          <w:rFonts w:cstheme="minorHAnsi"/>
          <w:color w:val="000000" w:themeColor="text1"/>
        </w:rPr>
        <w:t>ü</w:t>
      </w:r>
      <w:r w:rsidRPr="00A71FB6">
        <w:rPr>
          <w:rFonts w:cstheme="minorHAnsi"/>
          <w:color w:val="000000" w:themeColor="text1"/>
        </w:rPr>
        <w:t>y</w:t>
      </w:r>
      <w:r>
        <w:rPr>
          <w:rFonts w:cstheme="minorHAnsi"/>
          <w:color w:val="000000" w:themeColor="text1"/>
        </w:rPr>
        <w:t>e devletlerle yıllık olarak 4. m</w:t>
      </w:r>
      <w:r w:rsidRPr="00A71FB6">
        <w:rPr>
          <w:rFonts w:cstheme="minorHAnsi"/>
          <w:color w:val="000000" w:themeColor="text1"/>
        </w:rPr>
        <w:t xml:space="preserve">adde görüşmeleri gerçekleştirerek ekonomilerindeki durumu değerlendiren IMF, </w:t>
      </w:r>
      <w:r>
        <w:rPr>
          <w:rFonts w:cstheme="minorHAnsi"/>
          <w:color w:val="000000" w:themeColor="text1"/>
        </w:rPr>
        <w:t>Türkiye’ye gerçekleştirilen heyet ziyaretinin ardından</w:t>
      </w:r>
      <w:r w:rsidRPr="00A71FB6">
        <w:rPr>
          <w:rFonts w:cstheme="minorHAnsi"/>
          <w:color w:val="000000" w:themeColor="text1"/>
        </w:rPr>
        <w:t xml:space="preserve"> Eylül ayında yaptığı açıklamada,</w:t>
      </w:r>
      <w:r w:rsidRPr="00A71FB6">
        <w:t xml:space="preserve"> </w:t>
      </w:r>
      <w:r w:rsidRPr="005F3A50">
        <w:t>Türkiye'nin ekonomi politikaları açısından önündeki en büyük sıkıntıyı odak noktasının kısa vadeli büyüme yerine, orta vadede daha güçlü ve daha kalıcı bir büyüme</w:t>
      </w:r>
      <w:r>
        <w:t>ye</w:t>
      </w:r>
      <w:r w:rsidRPr="005F3A50">
        <w:t xml:space="preserve"> çevrilmesi</w:t>
      </w:r>
      <w:r>
        <w:t>nin oluşturduğunu belirtmiştir. Mevcut koşulların sürdürülebilir büyüme ve ekonomide olası şoklara karşı esnekliğin artırılması için ihtiyaç duyulan yapısal reformlara odaklanılması konusunda fırsat sunduğunu belirten IMF, f</w:t>
      </w:r>
      <w:r w:rsidRPr="005F3A50">
        <w:t>inansal istikrarı desteklemek ve orta vadede daha güçlü ve daha kalıcı bir büyüme sağlamak için bankaların ve şirketlerin bilançolarındaki kötü borçların temizlenmesi gerektiği</w:t>
      </w:r>
      <w:r>
        <w:t>ni de kaydetmiştir.</w:t>
      </w:r>
      <w:r w:rsidR="00951B93">
        <w:t xml:space="preserve"> Açıklamada</w:t>
      </w:r>
      <w:r>
        <w:rPr>
          <w:rFonts w:cstheme="minorHAnsi"/>
          <w:color w:val="000000" w:themeColor="text1"/>
        </w:rPr>
        <w:t>, Türkiye’ye</w:t>
      </w:r>
      <w:r w:rsidRPr="00644203">
        <w:rPr>
          <w:rFonts w:cstheme="minorHAnsi"/>
          <w:color w:val="000000" w:themeColor="text1"/>
        </w:rPr>
        <w:t xml:space="preserve"> kredileri büyütmeye yönelik çabaların yaşayabilir borçlulara kredi sağlanmasını temin etmekle sınırlı olması gerektiği</w:t>
      </w:r>
      <w:r>
        <w:rPr>
          <w:rFonts w:cstheme="minorHAnsi"/>
          <w:color w:val="000000" w:themeColor="text1"/>
        </w:rPr>
        <w:t xml:space="preserve"> konusunda uyarıda bulun</w:t>
      </w:r>
      <w:r w:rsidR="00951B93">
        <w:rPr>
          <w:rFonts w:cstheme="minorHAnsi"/>
          <w:color w:val="000000" w:themeColor="text1"/>
        </w:rPr>
        <w:t>ul</w:t>
      </w:r>
      <w:r>
        <w:rPr>
          <w:rFonts w:cstheme="minorHAnsi"/>
          <w:color w:val="000000" w:themeColor="text1"/>
        </w:rPr>
        <w:t>muştur.</w:t>
      </w:r>
    </w:p>
    <w:p w:rsidR="00EB6463" w:rsidRDefault="00EB6463" w:rsidP="00E25A04">
      <w:pPr>
        <w:autoSpaceDE w:val="0"/>
        <w:autoSpaceDN w:val="0"/>
        <w:adjustRightInd w:val="0"/>
        <w:spacing w:after="0" w:line="240" w:lineRule="auto"/>
        <w:jc w:val="both"/>
        <w:rPr>
          <w:highlight w:val="yellow"/>
        </w:rPr>
      </w:pPr>
    </w:p>
    <w:p w:rsidR="00A22099" w:rsidRDefault="008D0CA6" w:rsidP="00A22099">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theme="minorHAnsi"/>
        </w:rPr>
      </w:pPr>
      <w:r w:rsidRPr="008D0CA6">
        <w:rPr>
          <w:rFonts w:eastAsia="Times New Roman" w:cstheme="minorHAnsi"/>
        </w:rPr>
        <w:lastRenderedPageBreak/>
        <w:t xml:space="preserve">2019’u yüzde 12,9’luk bir işsizlik oranıyla kapattıktan sonra, işsizlik oranını 2020’de yüzde 11,8’e, 2021’de yüzde 10,6’ya ve 2022’de 9,8’e düşürmeyi hedefliyoruz. Ekonomik aktivitedeki toparlanma ile iş gücüne katılım ve istihdam oranlarında iyileşmeyi göreceğiz. Program dönemi boyunca istihdamdaki kişi sayısının yıllık ortalama 1 milyon 66 bin kişi artarak işsizlik oranının kademeli gerilemesi sağlanacak. </w:t>
      </w:r>
      <w:r w:rsidR="00EC0627">
        <w:rPr>
          <w:rFonts w:eastAsia="Times New Roman" w:cstheme="minorHAnsi"/>
        </w:rPr>
        <w:t>…</w:t>
      </w:r>
      <w:r w:rsidRPr="008D0CA6">
        <w:rPr>
          <w:rFonts w:eastAsia="Times New Roman" w:cstheme="minorHAnsi"/>
        </w:rPr>
        <w:t xml:space="preserve"> Nitekim son bir yıldaki istihdam kaybının yaklaşık üçte ikisi inşaat sektöründen kaynaklandı. Tamamlanmaya yakın yapıların bitirilmesinin desteklenmesiyle kısa dönemde bu alandaki istihdama olumlu katkı sunacağını göreceğiz.</w:t>
      </w:r>
    </w:p>
    <w:p w:rsidR="00EC0627" w:rsidRPr="004E1754" w:rsidRDefault="00EC0627" w:rsidP="00A22099">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color w:val="C0504D" w:themeColor="accent2"/>
        </w:rPr>
      </w:pPr>
    </w:p>
    <w:p w:rsidR="004B3E01" w:rsidRDefault="00A22099" w:rsidP="00A22099">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b/>
          <w:i/>
          <w:color w:val="943634" w:themeColor="accent2" w:themeShade="BF"/>
        </w:rPr>
      </w:pPr>
      <w:r>
        <w:rPr>
          <w:rFonts w:eastAsia="Times New Roman" w:cs="Calibri"/>
          <w:b/>
          <w:i/>
          <w:color w:val="943634" w:themeColor="accent2" w:themeShade="BF"/>
        </w:rPr>
        <w:t xml:space="preserve">Berat ALBAYRAK, </w:t>
      </w:r>
      <w:r w:rsidR="004B3E01">
        <w:rPr>
          <w:rFonts w:eastAsia="Times New Roman" w:cs="Calibri"/>
          <w:b/>
          <w:i/>
          <w:color w:val="943634" w:themeColor="accent2" w:themeShade="BF"/>
        </w:rPr>
        <w:t xml:space="preserve">Hazine ve Maliye Bakanı </w:t>
      </w:r>
    </w:p>
    <w:p w:rsidR="00A22099" w:rsidRPr="00402F30" w:rsidRDefault="004B3E01" w:rsidP="00A22099">
      <w:pPr>
        <w:pBdr>
          <w:top w:val="single" w:sz="4" w:space="1" w:color="auto"/>
          <w:left w:val="single" w:sz="4" w:space="0" w:color="auto"/>
          <w:bottom w:val="single" w:sz="4" w:space="1" w:color="auto"/>
          <w:right w:val="single" w:sz="4" w:space="4" w:color="auto"/>
        </w:pBdr>
        <w:spacing w:after="0" w:line="240" w:lineRule="auto"/>
        <w:ind w:left="1418"/>
        <w:jc w:val="both"/>
        <w:rPr>
          <w:rFonts w:eastAsia="Times New Roman" w:cs="Calibri"/>
          <w:i/>
          <w:color w:val="943634" w:themeColor="accent2" w:themeShade="BF"/>
        </w:rPr>
      </w:pPr>
      <w:r>
        <w:rPr>
          <w:rFonts w:eastAsia="Times New Roman" w:cs="Calibri"/>
          <w:i/>
          <w:color w:val="943634" w:themeColor="accent2" w:themeShade="BF"/>
        </w:rPr>
        <w:t>Yeni Ekonomi Programı Basın Toplantısı,</w:t>
      </w:r>
      <w:r w:rsidR="00A22099" w:rsidRPr="00402F30">
        <w:rPr>
          <w:rFonts w:eastAsia="Times New Roman" w:cs="Calibri"/>
          <w:i/>
          <w:color w:val="943634" w:themeColor="accent2" w:themeShade="BF"/>
        </w:rPr>
        <w:t xml:space="preserve"> </w:t>
      </w:r>
      <w:r>
        <w:rPr>
          <w:rFonts w:eastAsia="Times New Roman" w:cs="Calibri"/>
          <w:i/>
          <w:color w:val="943634" w:themeColor="accent2" w:themeShade="BF"/>
        </w:rPr>
        <w:t>30</w:t>
      </w:r>
      <w:r w:rsidR="00A22099" w:rsidRPr="00402F30">
        <w:rPr>
          <w:rFonts w:eastAsia="Times New Roman" w:cs="Calibri"/>
          <w:i/>
          <w:color w:val="943634" w:themeColor="accent2" w:themeShade="BF"/>
        </w:rPr>
        <w:t xml:space="preserve"> Eylül 2</w:t>
      </w:r>
      <w:r w:rsidR="00040642">
        <w:rPr>
          <w:rFonts w:eastAsia="Times New Roman" w:cs="Calibri"/>
          <w:i/>
          <w:color w:val="943634" w:themeColor="accent2" w:themeShade="BF"/>
        </w:rPr>
        <w:t>019</w:t>
      </w:r>
    </w:p>
    <w:p w:rsidR="00A22099" w:rsidRDefault="00A22099" w:rsidP="00E25A04">
      <w:pPr>
        <w:autoSpaceDE w:val="0"/>
        <w:autoSpaceDN w:val="0"/>
        <w:adjustRightInd w:val="0"/>
        <w:spacing w:after="0" w:line="240" w:lineRule="auto"/>
        <w:jc w:val="both"/>
        <w:rPr>
          <w:highlight w:val="yellow"/>
        </w:rPr>
      </w:pPr>
    </w:p>
    <w:p w:rsidR="001879B9" w:rsidRDefault="001879B9" w:rsidP="00F66F7B">
      <w:pPr>
        <w:autoSpaceDE w:val="0"/>
        <w:autoSpaceDN w:val="0"/>
        <w:adjustRightInd w:val="0"/>
        <w:spacing w:after="0" w:line="240" w:lineRule="auto"/>
        <w:jc w:val="both"/>
        <w:rPr>
          <w:rFonts w:eastAsia="Times New Roman" w:cs="Calibri"/>
          <w:b/>
          <w:color w:val="632423"/>
          <w:sz w:val="24"/>
          <w:szCs w:val="24"/>
        </w:rPr>
      </w:pPr>
    </w:p>
    <w:p w:rsidR="00F66F7B" w:rsidRDefault="00CB6704" w:rsidP="00F66F7B">
      <w:pPr>
        <w:autoSpaceDE w:val="0"/>
        <w:autoSpaceDN w:val="0"/>
        <w:adjustRightInd w:val="0"/>
        <w:spacing w:after="0" w:line="240" w:lineRule="auto"/>
        <w:jc w:val="both"/>
        <w:rPr>
          <w:rFonts w:eastAsia="Times New Roman" w:cs="Calibri"/>
          <w:b/>
          <w:i/>
          <w:color w:val="632423"/>
          <w:sz w:val="24"/>
          <w:szCs w:val="24"/>
        </w:rPr>
      </w:pPr>
      <w:r>
        <w:rPr>
          <w:rFonts w:eastAsia="Times New Roman" w:cs="Calibri"/>
          <w:b/>
          <w:color w:val="632423"/>
          <w:sz w:val="24"/>
          <w:szCs w:val="24"/>
        </w:rPr>
        <w:t xml:space="preserve">Yeni Ekonomik Program               </w:t>
      </w:r>
      <w:r w:rsidR="00ED0ACD">
        <w:rPr>
          <w:rFonts w:eastAsia="Times New Roman" w:cs="Calibri"/>
          <w:b/>
          <w:color w:val="632423"/>
          <w:sz w:val="24"/>
          <w:szCs w:val="24"/>
        </w:rPr>
        <w:t xml:space="preserve">    </w:t>
      </w:r>
      <w:r>
        <w:rPr>
          <w:rFonts w:eastAsia="Times New Roman" w:cs="Calibri"/>
          <w:b/>
          <w:color w:val="632423"/>
          <w:sz w:val="24"/>
          <w:szCs w:val="24"/>
        </w:rPr>
        <w:t xml:space="preserve">                      </w:t>
      </w:r>
      <w:r w:rsidR="00B1470D">
        <w:rPr>
          <w:rFonts w:eastAsia="Times New Roman" w:cs="Calibri"/>
          <w:b/>
          <w:color w:val="632423"/>
          <w:sz w:val="24"/>
          <w:szCs w:val="24"/>
        </w:rPr>
        <w:t xml:space="preserve">         </w:t>
      </w:r>
      <w:r w:rsidR="000D3A6C">
        <w:rPr>
          <w:rFonts w:eastAsia="Times New Roman" w:cs="Calibri"/>
          <w:b/>
          <w:color w:val="632423"/>
          <w:sz w:val="24"/>
          <w:szCs w:val="24"/>
        </w:rPr>
        <w:t xml:space="preserve">          </w:t>
      </w:r>
      <w:r>
        <w:rPr>
          <w:rFonts w:eastAsia="Times New Roman" w:cs="Calibri"/>
          <w:b/>
          <w:color w:val="632423"/>
          <w:sz w:val="24"/>
          <w:szCs w:val="24"/>
        </w:rPr>
        <w:t xml:space="preserve">    </w:t>
      </w:r>
      <w:r w:rsidR="00C842A9">
        <w:rPr>
          <w:rFonts w:eastAsia="Times New Roman" w:cs="Calibri"/>
          <w:b/>
          <w:i/>
          <w:color w:val="632423"/>
          <w:sz w:val="24"/>
          <w:szCs w:val="24"/>
        </w:rPr>
        <w:t>2019 beklentileri daha gerçekçi</w:t>
      </w:r>
    </w:p>
    <w:p w:rsidR="00402F30" w:rsidRDefault="00402F30" w:rsidP="00F66F7B">
      <w:pPr>
        <w:autoSpaceDE w:val="0"/>
        <w:autoSpaceDN w:val="0"/>
        <w:adjustRightInd w:val="0"/>
        <w:spacing w:after="0" w:line="240" w:lineRule="auto"/>
        <w:jc w:val="both"/>
        <w:rPr>
          <w:rFonts w:cstheme="minorHAnsi"/>
          <w:color w:val="000000" w:themeColor="text1"/>
        </w:rPr>
      </w:pPr>
    </w:p>
    <w:p w:rsidR="00007E02" w:rsidRDefault="005E67AE" w:rsidP="00F66F7B">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Ekonomide </w:t>
      </w:r>
      <w:r w:rsidR="00007E02" w:rsidRPr="00013FFB">
        <w:rPr>
          <w:rFonts w:cstheme="minorHAnsi"/>
          <w:color w:val="000000" w:themeColor="text1"/>
        </w:rPr>
        <w:t>2020 - 2022 dönemini kapsayacak Orta Vadeli Program olan “Yeni Ekonomi Programı”  (YEP)</w:t>
      </w:r>
      <w:r w:rsidR="00007E02">
        <w:rPr>
          <w:rFonts w:cstheme="minorHAnsi"/>
          <w:color w:val="000000" w:themeColor="text1"/>
        </w:rPr>
        <w:t>,</w:t>
      </w:r>
      <w:r w:rsidR="00007E02" w:rsidRPr="00013FFB">
        <w:rPr>
          <w:rFonts w:cstheme="minorHAnsi"/>
          <w:color w:val="000000" w:themeColor="text1"/>
        </w:rPr>
        <w:t xml:space="preserve"> 30 Eylül 2019 tarihinde açıklanmıştır. Bu yılki ana teması "Değişim Başlıyor" olan programda enflasyonla mücadele ve sürdürülebilir büyüme hedeflerine vurgu yapılması</w:t>
      </w:r>
      <w:r w:rsidR="00007E02">
        <w:rPr>
          <w:rFonts w:cstheme="minorHAnsi"/>
          <w:color w:val="000000" w:themeColor="text1"/>
        </w:rPr>
        <w:t>,</w:t>
      </w:r>
      <w:r w:rsidR="00007E02" w:rsidRPr="00013FFB">
        <w:rPr>
          <w:rFonts w:cstheme="minorHAnsi"/>
          <w:color w:val="000000" w:themeColor="text1"/>
        </w:rPr>
        <w:t xml:space="preserve"> </w:t>
      </w:r>
      <w:r w:rsidR="00453ED6" w:rsidRPr="00453ED6">
        <w:rPr>
          <w:rFonts w:cstheme="minorHAnsi"/>
          <w:color w:val="000000" w:themeColor="text1"/>
        </w:rPr>
        <w:t xml:space="preserve">yılın sonuna yaklaşılmakla beraber </w:t>
      </w:r>
      <w:r w:rsidR="00007E02" w:rsidRPr="00013FFB">
        <w:rPr>
          <w:rFonts w:cstheme="minorHAnsi"/>
          <w:color w:val="000000" w:themeColor="text1"/>
        </w:rPr>
        <w:t xml:space="preserve">özellikle bu yıl için büyük ölçüde gerçekçi </w:t>
      </w:r>
      <w:r w:rsidR="00007E02">
        <w:rPr>
          <w:rFonts w:cstheme="minorHAnsi"/>
          <w:color w:val="000000" w:themeColor="text1"/>
        </w:rPr>
        <w:t>beklentileri</w:t>
      </w:r>
      <w:r w:rsidR="00007E02" w:rsidRPr="00013FFB">
        <w:rPr>
          <w:rFonts w:cstheme="minorHAnsi"/>
          <w:color w:val="000000" w:themeColor="text1"/>
        </w:rPr>
        <w:t xml:space="preserve">n ortaya konması piyasada </w:t>
      </w:r>
      <w:r w:rsidR="00007E02">
        <w:rPr>
          <w:rFonts w:cstheme="minorHAnsi"/>
          <w:color w:val="000000" w:themeColor="text1"/>
        </w:rPr>
        <w:t>olumlu</w:t>
      </w:r>
      <w:r w:rsidR="00007E02" w:rsidRPr="00013FFB">
        <w:rPr>
          <w:rFonts w:cstheme="minorHAnsi"/>
          <w:color w:val="000000" w:themeColor="text1"/>
        </w:rPr>
        <w:t xml:space="preserve"> karşılanmıştır.</w:t>
      </w:r>
    </w:p>
    <w:p w:rsidR="00007E02" w:rsidRDefault="00007E02" w:rsidP="00F66F7B">
      <w:pPr>
        <w:autoSpaceDE w:val="0"/>
        <w:autoSpaceDN w:val="0"/>
        <w:adjustRightInd w:val="0"/>
        <w:spacing w:after="0" w:line="240" w:lineRule="auto"/>
        <w:jc w:val="both"/>
        <w:rPr>
          <w:rFonts w:cstheme="minorHAnsi"/>
          <w:color w:val="000000" w:themeColor="text1"/>
        </w:rPr>
      </w:pPr>
    </w:p>
    <w:p w:rsidR="00013FFB" w:rsidRPr="001379C9" w:rsidRDefault="00F66F7B" w:rsidP="00013FFB">
      <w:pPr>
        <w:autoSpaceDE w:val="0"/>
        <w:autoSpaceDN w:val="0"/>
        <w:adjustRightInd w:val="0"/>
        <w:spacing w:after="0" w:line="240" w:lineRule="auto"/>
        <w:jc w:val="both"/>
        <w:rPr>
          <w:rFonts w:ascii="Calibri" w:eastAsia="Times New Roman" w:hAnsi="Calibri" w:cs="Calibri"/>
          <w:b/>
          <w:bCs/>
          <w:color w:val="000000"/>
        </w:rPr>
      </w:pPr>
      <w:r w:rsidRPr="001379C9">
        <w:rPr>
          <w:rFonts w:cstheme="minorHAnsi"/>
          <w:color w:val="000000" w:themeColor="text1"/>
        </w:rPr>
        <w:t xml:space="preserve"> </w:t>
      </w:r>
      <w:r w:rsidR="00B821E3">
        <w:rPr>
          <w:rFonts w:ascii="Calibri" w:eastAsia="Times New Roman" w:hAnsi="Calibri" w:cs="Calibri"/>
          <w:b/>
          <w:bCs/>
          <w:color w:val="000000"/>
        </w:rPr>
        <w:t xml:space="preserve">Yeni Ekonomi Programı’nın </w:t>
      </w:r>
      <w:r w:rsidR="00013FFB" w:rsidRPr="001379C9">
        <w:rPr>
          <w:rFonts w:ascii="Calibri" w:eastAsia="Times New Roman" w:hAnsi="Calibri" w:cs="Calibri"/>
          <w:b/>
          <w:bCs/>
          <w:color w:val="000000"/>
        </w:rPr>
        <w:t>Hedefleri</w:t>
      </w:r>
    </w:p>
    <w:p w:rsidR="00013FFB" w:rsidRDefault="001541EF" w:rsidP="00013FFB">
      <w:pPr>
        <w:autoSpaceDE w:val="0"/>
        <w:autoSpaceDN w:val="0"/>
        <w:adjustRightInd w:val="0"/>
        <w:spacing w:after="0" w:line="240" w:lineRule="auto"/>
        <w:jc w:val="both"/>
        <w:rPr>
          <w:rFonts w:cstheme="minorHAnsi"/>
          <w:color w:val="000000" w:themeColor="text1"/>
        </w:rPr>
      </w:pPr>
      <w:r>
        <w:rPr>
          <w:rFonts w:cstheme="minorHAnsi"/>
          <w:color w:val="000000" w:themeColor="text1"/>
        </w:rPr>
        <w:t>(</w:t>
      </w:r>
      <w:r w:rsidR="00013FFB" w:rsidRPr="001379C9">
        <w:rPr>
          <w:rFonts w:cstheme="minorHAnsi"/>
          <w:color w:val="000000" w:themeColor="text1"/>
        </w:rPr>
        <w:t>%</w:t>
      </w:r>
      <w:r>
        <w:rPr>
          <w:rFonts w:cstheme="minorHAnsi"/>
          <w:color w:val="000000" w:themeColor="text1"/>
        </w:rPr>
        <w:t xml:space="preserve"> puan)</w:t>
      </w:r>
    </w:p>
    <w:p w:rsidR="00013FFB" w:rsidRPr="00EE3AB2" w:rsidRDefault="00995FD8" w:rsidP="00013FFB">
      <w:pPr>
        <w:autoSpaceDE w:val="0"/>
        <w:autoSpaceDN w:val="0"/>
        <w:adjustRightInd w:val="0"/>
        <w:spacing w:after="0" w:line="240" w:lineRule="auto"/>
        <w:jc w:val="both"/>
        <w:rPr>
          <w:rFonts w:cstheme="minorHAnsi"/>
          <w:color w:val="000000" w:themeColor="text1"/>
        </w:rPr>
      </w:pPr>
      <w:r w:rsidRPr="00995FD8">
        <w:rPr>
          <w:noProof/>
        </w:rPr>
        <w:drawing>
          <wp:inline distT="0" distB="0" distL="0" distR="0">
            <wp:extent cx="5715000" cy="1085319"/>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13111" cy="1084960"/>
                    </a:xfrm>
                    <a:prstGeom prst="rect">
                      <a:avLst/>
                    </a:prstGeom>
                    <a:noFill/>
                    <a:ln w="9525">
                      <a:noFill/>
                      <a:miter lim="800000"/>
                      <a:headEnd/>
                      <a:tailEnd/>
                    </a:ln>
                  </pic:spPr>
                </pic:pic>
              </a:graphicData>
            </a:graphic>
          </wp:inline>
        </w:drawing>
      </w:r>
    </w:p>
    <w:p w:rsidR="00013FFB" w:rsidRDefault="00013FFB" w:rsidP="00013FFB">
      <w:pPr>
        <w:autoSpaceDE w:val="0"/>
        <w:autoSpaceDN w:val="0"/>
        <w:adjustRightInd w:val="0"/>
        <w:spacing w:after="0" w:line="240" w:lineRule="auto"/>
        <w:jc w:val="both"/>
        <w:rPr>
          <w:rFonts w:cstheme="minorHAnsi"/>
          <w:color w:val="000000" w:themeColor="text1"/>
        </w:rPr>
      </w:pPr>
    </w:p>
    <w:p w:rsidR="00013FFB" w:rsidRPr="00B543B6" w:rsidRDefault="00013FFB" w:rsidP="00013FFB">
      <w:pPr>
        <w:spacing w:after="0" w:line="240" w:lineRule="auto"/>
        <w:jc w:val="both"/>
        <w:rPr>
          <w:rFonts w:ascii="Calibri" w:eastAsia="Times New Roman" w:hAnsi="Calibri" w:cs="Calibri"/>
          <w:b/>
          <w:bCs/>
          <w:i/>
          <w:iCs/>
          <w:color w:val="000000"/>
          <w:sz w:val="20"/>
          <w:szCs w:val="20"/>
        </w:rPr>
      </w:pPr>
      <w:r w:rsidRPr="00B543B6">
        <w:rPr>
          <w:rFonts w:ascii="Calibri" w:eastAsia="Times New Roman" w:hAnsi="Calibri" w:cs="Calibri"/>
          <w:b/>
          <w:bCs/>
          <w:i/>
          <w:iCs/>
          <w:color w:val="000000"/>
          <w:sz w:val="20"/>
          <w:szCs w:val="20"/>
        </w:rPr>
        <w:t>Kaynak: Hazine ve Maliye Bakanlığı</w:t>
      </w:r>
    </w:p>
    <w:p w:rsidR="00013FFB" w:rsidRDefault="00013FFB" w:rsidP="00013FFB">
      <w:pPr>
        <w:autoSpaceDE w:val="0"/>
        <w:autoSpaceDN w:val="0"/>
        <w:adjustRightInd w:val="0"/>
        <w:spacing w:after="0" w:line="240" w:lineRule="auto"/>
        <w:jc w:val="both"/>
        <w:rPr>
          <w:highlight w:val="yellow"/>
        </w:rPr>
      </w:pPr>
    </w:p>
    <w:p w:rsidR="001879B9" w:rsidRDefault="00013FFB" w:rsidP="001379C9">
      <w:pPr>
        <w:autoSpaceDE w:val="0"/>
        <w:autoSpaceDN w:val="0"/>
        <w:adjustRightInd w:val="0"/>
        <w:spacing w:after="0" w:line="240" w:lineRule="auto"/>
        <w:jc w:val="both"/>
        <w:rPr>
          <w:rFonts w:cstheme="minorHAnsi"/>
          <w:color w:val="000000" w:themeColor="text1"/>
        </w:rPr>
      </w:pPr>
      <w:r w:rsidRPr="000F5360">
        <w:t xml:space="preserve">Programda </w:t>
      </w:r>
      <w:r w:rsidRPr="000F5360">
        <w:rPr>
          <w:rFonts w:cstheme="minorHAnsi"/>
          <w:color w:val="000000" w:themeColor="text1"/>
        </w:rPr>
        <w:t>20</w:t>
      </w:r>
      <w:r w:rsidR="008937AB">
        <w:rPr>
          <w:rFonts w:cstheme="minorHAnsi"/>
          <w:color w:val="000000" w:themeColor="text1"/>
        </w:rPr>
        <w:t>20</w:t>
      </w:r>
      <w:r w:rsidRPr="000F5360">
        <w:rPr>
          <w:rFonts w:cstheme="minorHAnsi"/>
          <w:color w:val="000000" w:themeColor="text1"/>
        </w:rPr>
        <w:t xml:space="preserve"> - 2022 dönemi için </w:t>
      </w:r>
      <w:r w:rsidR="005E54D7" w:rsidRPr="000F5360">
        <w:rPr>
          <w:rFonts w:cstheme="minorHAnsi"/>
          <w:color w:val="000000" w:themeColor="text1"/>
        </w:rPr>
        <w:t>enflasyon hedefi</w:t>
      </w:r>
      <w:r w:rsidRPr="000F5360">
        <w:rPr>
          <w:rFonts w:cstheme="minorHAnsi"/>
          <w:color w:val="000000" w:themeColor="text1"/>
        </w:rPr>
        <w:t xml:space="preserve"> sırasıyla %8,5, %6 ve %4,9 </w:t>
      </w:r>
      <w:r w:rsidR="00017BB0">
        <w:rPr>
          <w:rFonts w:cstheme="minorHAnsi"/>
          <w:color w:val="000000" w:themeColor="text1"/>
        </w:rPr>
        <w:t xml:space="preserve">olarak </w:t>
      </w:r>
      <w:r w:rsidRPr="000F5360">
        <w:rPr>
          <w:rFonts w:cstheme="minorHAnsi"/>
          <w:color w:val="000000" w:themeColor="text1"/>
        </w:rPr>
        <w:t>belirlen</w:t>
      </w:r>
      <w:r w:rsidR="008937AB">
        <w:rPr>
          <w:rFonts w:cstheme="minorHAnsi"/>
          <w:color w:val="000000" w:themeColor="text1"/>
        </w:rPr>
        <w:t xml:space="preserve">miştir. </w:t>
      </w:r>
      <w:r w:rsidR="00A333B8">
        <w:rPr>
          <w:rFonts w:cstheme="minorHAnsi"/>
          <w:color w:val="000000" w:themeColor="text1"/>
        </w:rPr>
        <w:t>B</w:t>
      </w:r>
      <w:r w:rsidR="008937AB">
        <w:rPr>
          <w:rFonts w:cstheme="minorHAnsi"/>
          <w:color w:val="000000" w:themeColor="text1"/>
        </w:rPr>
        <w:t xml:space="preserve">üyümenin </w:t>
      </w:r>
      <w:r w:rsidR="00A333B8">
        <w:rPr>
          <w:rFonts w:cstheme="minorHAnsi"/>
          <w:color w:val="000000" w:themeColor="text1"/>
        </w:rPr>
        <w:t xml:space="preserve">program dönemi boyunca </w:t>
      </w:r>
      <w:r w:rsidR="008937AB">
        <w:rPr>
          <w:rFonts w:cstheme="minorHAnsi"/>
          <w:color w:val="000000" w:themeColor="text1"/>
        </w:rPr>
        <w:t xml:space="preserve">%5 seviyesinde gerçekleşmesi </w:t>
      </w:r>
      <w:r w:rsidR="00017BB0">
        <w:rPr>
          <w:rFonts w:cstheme="minorHAnsi"/>
          <w:color w:val="000000" w:themeColor="text1"/>
        </w:rPr>
        <w:t xml:space="preserve">öngörülmekte </w:t>
      </w:r>
      <w:r w:rsidR="00436C51">
        <w:rPr>
          <w:rFonts w:cstheme="minorHAnsi"/>
          <w:color w:val="000000" w:themeColor="text1"/>
        </w:rPr>
        <w:t>olup</w:t>
      </w:r>
      <w:r w:rsidR="008937AB">
        <w:rPr>
          <w:rFonts w:cstheme="minorHAnsi"/>
          <w:color w:val="000000" w:themeColor="text1"/>
        </w:rPr>
        <w:t>, 2020 yılında b</w:t>
      </w:r>
      <w:r w:rsidR="000D48D7">
        <w:rPr>
          <w:rFonts w:cstheme="minorHAnsi"/>
          <w:color w:val="000000" w:themeColor="text1"/>
        </w:rPr>
        <w:t xml:space="preserve">üyümenin ertelenmiş iç talep </w:t>
      </w:r>
      <w:r w:rsidR="008937AB">
        <w:rPr>
          <w:rFonts w:cstheme="minorHAnsi"/>
          <w:color w:val="000000" w:themeColor="text1"/>
        </w:rPr>
        <w:t xml:space="preserve">kaynaklı olacağı ve enflasyonist olmayacağı ifade edilmiştir. Aynı dönemde merkezi yönetim bütçe açığının </w:t>
      </w:r>
      <w:proofErr w:type="spellStart"/>
      <w:r w:rsidR="008937AB">
        <w:rPr>
          <w:rFonts w:cstheme="minorHAnsi"/>
          <w:color w:val="000000" w:themeColor="text1"/>
        </w:rPr>
        <w:t>GSYH’ye</w:t>
      </w:r>
      <w:proofErr w:type="spellEnd"/>
      <w:r w:rsidR="008937AB">
        <w:rPr>
          <w:rFonts w:cstheme="minorHAnsi"/>
          <w:color w:val="000000" w:themeColor="text1"/>
        </w:rPr>
        <w:t xml:space="preserve"> oranının %3’ün altında tutulması ve cari işlemlerde de dengenin kalıcı </w:t>
      </w:r>
      <w:r w:rsidR="0051394F">
        <w:rPr>
          <w:rFonts w:cstheme="minorHAnsi"/>
          <w:color w:val="000000" w:themeColor="text1"/>
        </w:rPr>
        <w:t xml:space="preserve">olarak tesis edilmesi </w:t>
      </w:r>
      <w:r w:rsidR="008937AB">
        <w:rPr>
          <w:rFonts w:cstheme="minorHAnsi"/>
          <w:color w:val="000000" w:themeColor="text1"/>
        </w:rPr>
        <w:t>hedeflenmiştir</w:t>
      </w:r>
      <w:r w:rsidR="00713008">
        <w:rPr>
          <w:rFonts w:cstheme="minorHAnsi"/>
          <w:color w:val="000000" w:themeColor="text1"/>
        </w:rPr>
        <w:t xml:space="preserve">. </w:t>
      </w:r>
      <w:r w:rsidR="001879B9">
        <w:rPr>
          <w:rFonts w:cstheme="minorHAnsi"/>
          <w:color w:val="000000" w:themeColor="text1"/>
        </w:rPr>
        <w:t xml:space="preserve">Programda </w:t>
      </w:r>
      <w:r w:rsidR="00713008" w:rsidRPr="00713008">
        <w:rPr>
          <w:rFonts w:cstheme="minorHAnsi"/>
          <w:color w:val="000000" w:themeColor="text1"/>
        </w:rPr>
        <w:t>2020 yılında büyümen</w:t>
      </w:r>
      <w:r w:rsidR="00713008">
        <w:rPr>
          <w:rFonts w:cstheme="minorHAnsi"/>
          <w:color w:val="000000" w:themeColor="text1"/>
        </w:rPr>
        <w:t>in temel belirleyicisinin yurtiçi talep olması</w:t>
      </w:r>
      <w:r w:rsidR="001879B9">
        <w:rPr>
          <w:rFonts w:cstheme="minorHAnsi"/>
          <w:color w:val="000000" w:themeColor="text1"/>
        </w:rPr>
        <w:t xml:space="preserve"> öngörülmekte, bu kapsamda</w:t>
      </w:r>
      <w:r w:rsidR="00713008">
        <w:rPr>
          <w:rFonts w:cstheme="minorHAnsi"/>
          <w:color w:val="000000" w:themeColor="text1"/>
        </w:rPr>
        <w:t xml:space="preserve"> özel tüketimin ertelenmiş talep ve kredi ile güven kanalının desteğiyle büyümeye en yüksek katkı verecek kalem olması beklenmektedir. </w:t>
      </w:r>
    </w:p>
    <w:p w:rsidR="001879B9" w:rsidRDefault="001879B9" w:rsidP="001379C9">
      <w:pPr>
        <w:autoSpaceDE w:val="0"/>
        <w:autoSpaceDN w:val="0"/>
        <w:adjustRightInd w:val="0"/>
        <w:spacing w:after="0" w:line="240" w:lineRule="auto"/>
        <w:jc w:val="both"/>
        <w:rPr>
          <w:rFonts w:cstheme="minorHAnsi"/>
          <w:color w:val="000000" w:themeColor="text1"/>
        </w:rPr>
      </w:pPr>
    </w:p>
    <w:p w:rsidR="00713008" w:rsidRDefault="00B9301D" w:rsidP="001379C9">
      <w:pPr>
        <w:autoSpaceDE w:val="0"/>
        <w:autoSpaceDN w:val="0"/>
        <w:adjustRightInd w:val="0"/>
        <w:spacing w:after="0" w:line="240" w:lineRule="auto"/>
        <w:jc w:val="both"/>
        <w:rPr>
          <w:rFonts w:cstheme="minorHAnsi"/>
          <w:color w:val="000000" w:themeColor="text1"/>
        </w:rPr>
      </w:pPr>
      <w:proofErr w:type="gramStart"/>
      <w:r>
        <w:rPr>
          <w:rFonts w:cstheme="minorHAnsi"/>
          <w:color w:val="000000" w:themeColor="text1"/>
        </w:rPr>
        <w:t>Programda ü</w:t>
      </w:r>
      <w:r w:rsidR="00713008">
        <w:rPr>
          <w:rFonts w:cstheme="minorHAnsi"/>
          <w:color w:val="000000" w:themeColor="text1"/>
        </w:rPr>
        <w:t>retim yönünden ise aynı yıl için</w:t>
      </w:r>
      <w:r>
        <w:rPr>
          <w:rFonts w:cstheme="minorHAnsi"/>
          <w:color w:val="000000" w:themeColor="text1"/>
        </w:rPr>
        <w:t xml:space="preserve"> yurtiçi talepte genele yayılan bir toparlanma,</w:t>
      </w:r>
      <w:r w:rsidR="00713008">
        <w:rPr>
          <w:rFonts w:cstheme="minorHAnsi"/>
          <w:color w:val="000000" w:themeColor="text1"/>
        </w:rPr>
        <w:t xml:space="preserve"> turizm gelirlerinin art</w:t>
      </w:r>
      <w:r>
        <w:rPr>
          <w:rFonts w:cstheme="minorHAnsi"/>
          <w:color w:val="000000" w:themeColor="text1"/>
        </w:rPr>
        <w:t xml:space="preserve">ması, ihracatın gücünü korumasının yanı sıra sanayi sektörünün %6 büyüme ile </w:t>
      </w:r>
      <w:proofErr w:type="spellStart"/>
      <w:r>
        <w:rPr>
          <w:rFonts w:cstheme="minorHAnsi"/>
          <w:color w:val="000000" w:themeColor="text1"/>
        </w:rPr>
        <w:t>GSYH’ye</w:t>
      </w:r>
      <w:proofErr w:type="spellEnd"/>
      <w:r>
        <w:rPr>
          <w:rFonts w:cstheme="minorHAnsi"/>
          <w:color w:val="000000" w:themeColor="text1"/>
        </w:rPr>
        <w:t xml:space="preserve"> 1,2 puan katkı vermesi, hizmetler sektörünün %5,2 artışla büyümenin sürükleyicisi olması, tarımın uzun dönem ortalamasının üzerinde ve inşaat sektörünün ise sınırlı düzeyde pozitif katkısı öngörüleri ifade edilmektedir.</w:t>
      </w:r>
      <w:r w:rsidR="001379C9">
        <w:rPr>
          <w:rFonts w:cstheme="minorHAnsi"/>
          <w:color w:val="000000" w:themeColor="text1"/>
        </w:rPr>
        <w:t xml:space="preserve"> </w:t>
      </w:r>
      <w:proofErr w:type="gramEnd"/>
      <w:r w:rsidR="001379C9">
        <w:rPr>
          <w:rFonts w:cstheme="minorHAnsi"/>
          <w:color w:val="000000" w:themeColor="text1"/>
        </w:rPr>
        <w:t xml:space="preserve">Yenilikçilik ve teknolojik dönüşüm çerçevesinde kimya, ilaç - tıbbi cihaz, makine, elektrikli teçhizat, otomotiv, elektronik ve raylı sistem araçları olarak belirlenen imalat sanayi sektörlerinin </w:t>
      </w:r>
      <w:proofErr w:type="spellStart"/>
      <w:r w:rsidR="001379C9">
        <w:rPr>
          <w:rFonts w:cstheme="minorHAnsi"/>
          <w:color w:val="000000" w:themeColor="text1"/>
        </w:rPr>
        <w:t>önceliklendiril</w:t>
      </w:r>
      <w:r w:rsidR="000D48D7">
        <w:rPr>
          <w:rFonts w:cstheme="minorHAnsi"/>
          <w:color w:val="000000" w:themeColor="text1"/>
        </w:rPr>
        <w:t>erek</w:t>
      </w:r>
      <w:proofErr w:type="spellEnd"/>
      <w:r w:rsidR="000D48D7">
        <w:rPr>
          <w:rFonts w:cstheme="minorHAnsi"/>
          <w:color w:val="000000" w:themeColor="text1"/>
        </w:rPr>
        <w:t xml:space="preserve"> desteklenmesine</w:t>
      </w:r>
      <w:r w:rsidR="001379C9">
        <w:rPr>
          <w:rFonts w:cstheme="minorHAnsi"/>
          <w:color w:val="000000" w:themeColor="text1"/>
        </w:rPr>
        <w:t xml:space="preserve"> devam edilecektir.</w:t>
      </w:r>
    </w:p>
    <w:p w:rsidR="008937AB" w:rsidRPr="000D48D7" w:rsidRDefault="008937AB" w:rsidP="001379C9">
      <w:pPr>
        <w:autoSpaceDE w:val="0"/>
        <w:autoSpaceDN w:val="0"/>
        <w:adjustRightInd w:val="0"/>
        <w:spacing w:after="0" w:line="240" w:lineRule="auto"/>
        <w:jc w:val="both"/>
        <w:rPr>
          <w:rFonts w:cstheme="minorHAnsi"/>
          <w:i/>
          <w:color w:val="000000" w:themeColor="text1"/>
        </w:rPr>
      </w:pPr>
    </w:p>
    <w:p w:rsidR="000D3A6C" w:rsidRPr="003630E5" w:rsidRDefault="000D48D7" w:rsidP="00DC61D8">
      <w:pPr>
        <w:autoSpaceDE w:val="0"/>
        <w:autoSpaceDN w:val="0"/>
        <w:adjustRightInd w:val="0"/>
        <w:spacing w:after="0" w:line="240" w:lineRule="auto"/>
        <w:jc w:val="both"/>
        <w:rPr>
          <w:rFonts w:cstheme="minorHAnsi"/>
          <w:color w:val="000000" w:themeColor="text1"/>
        </w:rPr>
      </w:pPr>
      <w:r w:rsidRPr="0060596F">
        <w:t>Ekonomistler, s</w:t>
      </w:r>
      <w:r w:rsidR="001379C9" w:rsidRPr="0060596F">
        <w:rPr>
          <w:rFonts w:cstheme="minorHAnsi"/>
          <w:color w:val="000000" w:themeColor="text1"/>
        </w:rPr>
        <w:t xml:space="preserve">on 5 yıllık ortalama büyüme oranı </w:t>
      </w:r>
      <w:r w:rsidR="00B821E3">
        <w:rPr>
          <w:rFonts w:cstheme="minorHAnsi"/>
          <w:color w:val="000000" w:themeColor="text1"/>
        </w:rPr>
        <w:t xml:space="preserve">yaklaşık </w:t>
      </w:r>
      <w:r w:rsidR="001379C9" w:rsidRPr="0060596F">
        <w:rPr>
          <w:rFonts w:cstheme="minorHAnsi"/>
          <w:color w:val="000000" w:themeColor="text1"/>
        </w:rPr>
        <w:t>%4,</w:t>
      </w:r>
      <w:r w:rsidR="00B821E3">
        <w:rPr>
          <w:rFonts w:cstheme="minorHAnsi"/>
          <w:color w:val="000000" w:themeColor="text1"/>
        </w:rPr>
        <w:t>5</w:t>
      </w:r>
      <w:r w:rsidR="001379C9" w:rsidRPr="0060596F">
        <w:rPr>
          <w:rFonts w:cstheme="minorHAnsi"/>
          <w:color w:val="000000" w:themeColor="text1"/>
        </w:rPr>
        <w:t xml:space="preserve"> olan</w:t>
      </w:r>
      <w:r w:rsidR="001379C9" w:rsidRPr="000F5360">
        <w:rPr>
          <w:rFonts w:cstheme="minorHAnsi"/>
          <w:color w:val="000000" w:themeColor="text1"/>
        </w:rPr>
        <w:t xml:space="preserve"> Türkiye için enflasyon içinde durgunluğun yaşandığı bir ortamda önümüzdeki 3 yıl boyunca %5’lik bü</w:t>
      </w:r>
      <w:r w:rsidR="001379C9">
        <w:rPr>
          <w:rFonts w:cstheme="minorHAnsi"/>
          <w:color w:val="000000" w:themeColor="text1"/>
        </w:rPr>
        <w:t xml:space="preserve">yümenin </w:t>
      </w:r>
      <w:r w:rsidR="001379C9" w:rsidRPr="000F5360">
        <w:rPr>
          <w:rFonts w:cstheme="minorHAnsi"/>
          <w:color w:val="000000" w:themeColor="text1"/>
        </w:rPr>
        <w:t>devam ettirilmesi</w:t>
      </w:r>
      <w:r>
        <w:rPr>
          <w:rFonts w:cstheme="minorHAnsi"/>
          <w:color w:val="000000" w:themeColor="text1"/>
        </w:rPr>
        <w:t xml:space="preserve"> </w:t>
      </w:r>
      <w:r>
        <w:rPr>
          <w:rFonts w:cstheme="minorHAnsi"/>
          <w:color w:val="000000" w:themeColor="text1"/>
        </w:rPr>
        <w:lastRenderedPageBreak/>
        <w:t>hedefini iddialı bulmuştur. M</w:t>
      </w:r>
      <w:r w:rsidR="001379C9" w:rsidRPr="000F5360">
        <w:rPr>
          <w:rFonts w:cstheme="minorHAnsi"/>
          <w:color w:val="000000" w:themeColor="text1"/>
        </w:rPr>
        <w:t>evcut büyüme modelinde bir değişiklik yapılmaması halinde ancak kredi büyümesi yoluyla</w:t>
      </w:r>
      <w:r>
        <w:rPr>
          <w:rFonts w:cstheme="minorHAnsi"/>
          <w:color w:val="000000" w:themeColor="text1"/>
        </w:rPr>
        <w:t xml:space="preserve"> bu hedefin</w:t>
      </w:r>
      <w:r w:rsidR="001379C9" w:rsidRPr="000F5360">
        <w:rPr>
          <w:rFonts w:cstheme="minorHAnsi"/>
          <w:color w:val="000000" w:themeColor="text1"/>
        </w:rPr>
        <w:t xml:space="preserve"> sağlanabileceği değerlendirilmektedir.</w:t>
      </w:r>
      <w:r w:rsidR="001379C9" w:rsidRPr="000F5360">
        <w:t xml:space="preserve"> </w:t>
      </w:r>
      <w:r w:rsidR="001379C9">
        <w:t>Bu senaryoda</w:t>
      </w:r>
      <w:r>
        <w:t>,</w:t>
      </w:r>
      <w:r w:rsidR="001379C9">
        <w:t xml:space="preserve"> enflasyonda </w:t>
      </w:r>
      <w:r w:rsidR="001379C9">
        <w:rPr>
          <w:rFonts w:cstheme="minorHAnsi"/>
          <w:color w:val="000000" w:themeColor="text1"/>
        </w:rPr>
        <w:t>para ve</w:t>
      </w:r>
      <w:r w:rsidR="001379C9" w:rsidRPr="000F5360">
        <w:rPr>
          <w:rFonts w:cstheme="minorHAnsi"/>
          <w:color w:val="000000" w:themeColor="text1"/>
        </w:rPr>
        <w:t xml:space="preserve"> kredi politikasında </w:t>
      </w:r>
      <w:r w:rsidR="001379C9">
        <w:rPr>
          <w:rFonts w:cstheme="minorHAnsi"/>
          <w:color w:val="000000" w:themeColor="text1"/>
        </w:rPr>
        <w:t xml:space="preserve">kontrollü bir seyir halinde ancak </w:t>
      </w:r>
      <w:r w:rsidR="00641A6D" w:rsidRPr="000F5360">
        <w:rPr>
          <w:rFonts w:cstheme="minorHAnsi"/>
          <w:color w:val="000000" w:themeColor="text1"/>
        </w:rPr>
        <w:t xml:space="preserve">2020 </w:t>
      </w:r>
      <w:r w:rsidR="00641A6D">
        <w:rPr>
          <w:rFonts w:cstheme="minorHAnsi"/>
          <w:color w:val="000000" w:themeColor="text1"/>
        </w:rPr>
        <w:t xml:space="preserve">yılının </w:t>
      </w:r>
      <w:r w:rsidR="001379C9">
        <w:rPr>
          <w:rFonts w:cstheme="minorHAnsi"/>
          <w:color w:val="000000" w:themeColor="text1"/>
        </w:rPr>
        <w:t>ikinci yarısında yüksek tek haneli oranların görülebileceği</w:t>
      </w:r>
      <w:r>
        <w:rPr>
          <w:rFonts w:cstheme="minorHAnsi"/>
          <w:color w:val="000000" w:themeColor="text1"/>
        </w:rPr>
        <w:t xml:space="preserve"> dile getirilmiş</w:t>
      </w:r>
      <w:r w:rsidR="001379C9">
        <w:rPr>
          <w:rFonts w:cstheme="minorHAnsi"/>
          <w:color w:val="000000" w:themeColor="text1"/>
        </w:rPr>
        <w:t xml:space="preserve">, büyüme hedefiyle </w:t>
      </w:r>
      <w:r w:rsidR="001379C9" w:rsidRPr="000F5360">
        <w:rPr>
          <w:rFonts w:cstheme="minorHAnsi"/>
          <w:color w:val="000000" w:themeColor="text1"/>
        </w:rPr>
        <w:t>iç tale</w:t>
      </w:r>
      <w:r w:rsidR="001379C9">
        <w:rPr>
          <w:rFonts w:cstheme="minorHAnsi"/>
          <w:color w:val="000000" w:themeColor="text1"/>
        </w:rPr>
        <w:t>pteki artışın enflasyonda</w:t>
      </w:r>
      <w:r w:rsidR="00995FD8">
        <w:rPr>
          <w:rFonts w:cstheme="minorHAnsi"/>
          <w:color w:val="000000" w:themeColor="text1"/>
        </w:rPr>
        <w:t xml:space="preserve"> %8,5 olan</w:t>
      </w:r>
      <w:r w:rsidR="001379C9">
        <w:rPr>
          <w:rFonts w:cstheme="minorHAnsi"/>
          <w:color w:val="000000" w:themeColor="text1"/>
        </w:rPr>
        <w:t xml:space="preserve"> 2020 </w:t>
      </w:r>
      <w:r w:rsidR="00641A6D">
        <w:rPr>
          <w:rFonts w:cstheme="minorHAnsi"/>
          <w:color w:val="000000" w:themeColor="text1"/>
        </w:rPr>
        <w:t xml:space="preserve">yılsonu </w:t>
      </w:r>
      <w:r w:rsidR="001379C9">
        <w:rPr>
          <w:rFonts w:cstheme="minorHAnsi"/>
          <w:color w:val="000000" w:themeColor="text1"/>
        </w:rPr>
        <w:t>hedefin</w:t>
      </w:r>
      <w:r w:rsidR="00641A6D">
        <w:rPr>
          <w:rFonts w:cstheme="minorHAnsi"/>
          <w:color w:val="000000" w:themeColor="text1"/>
        </w:rPr>
        <w:t>i tutturmayı güçleştirebileceği</w:t>
      </w:r>
      <w:r>
        <w:rPr>
          <w:rFonts w:cstheme="minorHAnsi"/>
          <w:color w:val="000000" w:themeColor="text1"/>
        </w:rPr>
        <w:t xml:space="preserve"> </w:t>
      </w:r>
      <w:r w:rsidR="001379C9">
        <w:rPr>
          <w:rFonts w:cstheme="minorHAnsi"/>
          <w:color w:val="000000" w:themeColor="text1"/>
        </w:rPr>
        <w:t>ifade edilm</w:t>
      </w:r>
      <w:r>
        <w:rPr>
          <w:rFonts w:cstheme="minorHAnsi"/>
          <w:color w:val="000000" w:themeColor="text1"/>
        </w:rPr>
        <w:t>iştir.</w:t>
      </w:r>
    </w:p>
    <w:p w:rsidR="000D3A6C" w:rsidRDefault="000D3A6C" w:rsidP="00DC61D8">
      <w:pPr>
        <w:autoSpaceDE w:val="0"/>
        <w:autoSpaceDN w:val="0"/>
        <w:adjustRightInd w:val="0"/>
        <w:spacing w:after="0" w:line="240" w:lineRule="auto"/>
        <w:jc w:val="both"/>
        <w:rPr>
          <w:highlight w:val="yellow"/>
        </w:rPr>
      </w:pPr>
    </w:p>
    <w:p w:rsidR="0074332B" w:rsidRPr="00BB7375" w:rsidRDefault="0074332B" w:rsidP="0074332B">
      <w:pPr>
        <w:spacing w:after="0" w:line="240" w:lineRule="auto"/>
        <w:jc w:val="both"/>
        <w:rPr>
          <w:rFonts w:eastAsia="Times New Roman" w:cs="Calibri"/>
          <w:b/>
          <w:i/>
          <w:color w:val="632423"/>
          <w:sz w:val="24"/>
          <w:szCs w:val="24"/>
        </w:rPr>
      </w:pPr>
      <w:r w:rsidRPr="00924407">
        <w:rPr>
          <w:rFonts w:eastAsia="Times New Roman" w:cs="Calibri"/>
          <w:b/>
          <w:color w:val="632423"/>
          <w:sz w:val="24"/>
          <w:szCs w:val="24"/>
        </w:rPr>
        <w:t xml:space="preserve">Büyüme </w:t>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t xml:space="preserve">                   </w:t>
      </w:r>
      <w:r w:rsidR="00B1470D">
        <w:rPr>
          <w:rFonts w:eastAsia="Times New Roman" w:cs="Calibri"/>
          <w:b/>
          <w:color w:val="632423"/>
          <w:sz w:val="24"/>
          <w:szCs w:val="24"/>
        </w:rPr>
        <w:t xml:space="preserve">      </w:t>
      </w:r>
      <w:r w:rsidRPr="00924407">
        <w:rPr>
          <w:rFonts w:eastAsia="Times New Roman" w:cs="Calibri"/>
          <w:b/>
          <w:color w:val="632423"/>
          <w:sz w:val="24"/>
          <w:szCs w:val="24"/>
        </w:rPr>
        <w:t xml:space="preserve">       </w:t>
      </w:r>
      <w:r w:rsidR="00647514">
        <w:rPr>
          <w:rFonts w:eastAsia="Times New Roman" w:cs="Calibri"/>
          <w:b/>
          <w:color w:val="632423"/>
          <w:sz w:val="24"/>
          <w:szCs w:val="24"/>
        </w:rPr>
        <w:t xml:space="preserve">                 </w:t>
      </w:r>
      <w:r>
        <w:rPr>
          <w:rFonts w:eastAsia="Times New Roman" w:cs="Calibri"/>
          <w:b/>
          <w:color w:val="632423"/>
          <w:sz w:val="24"/>
          <w:szCs w:val="24"/>
        </w:rPr>
        <w:t xml:space="preserve">     </w:t>
      </w:r>
      <w:r w:rsidRPr="00924407">
        <w:rPr>
          <w:rFonts w:eastAsia="Times New Roman" w:cs="Calibri"/>
          <w:b/>
          <w:color w:val="632423"/>
          <w:sz w:val="24"/>
          <w:szCs w:val="24"/>
        </w:rPr>
        <w:t xml:space="preserve"> </w:t>
      </w:r>
      <w:r w:rsidR="006B1F74">
        <w:rPr>
          <w:rFonts w:eastAsia="Times New Roman" w:cs="Calibri"/>
          <w:b/>
          <w:color w:val="632423"/>
          <w:sz w:val="24"/>
          <w:szCs w:val="24"/>
        </w:rPr>
        <w:t xml:space="preserve">           </w:t>
      </w:r>
      <w:r w:rsidRPr="00924407">
        <w:rPr>
          <w:rFonts w:eastAsia="Times New Roman" w:cs="Calibri"/>
          <w:b/>
          <w:color w:val="632423"/>
          <w:sz w:val="24"/>
          <w:szCs w:val="24"/>
        </w:rPr>
        <w:t xml:space="preserve"> </w:t>
      </w:r>
      <w:r>
        <w:rPr>
          <w:rFonts w:eastAsia="Times New Roman" w:cs="Calibri"/>
          <w:b/>
          <w:i/>
          <w:color w:val="632423"/>
          <w:sz w:val="24"/>
          <w:szCs w:val="24"/>
        </w:rPr>
        <w:t xml:space="preserve">Yatırımlarda keskin düşüş </w:t>
      </w:r>
    </w:p>
    <w:p w:rsidR="0074332B" w:rsidRPr="00924407" w:rsidRDefault="0074332B" w:rsidP="0074332B">
      <w:pPr>
        <w:autoSpaceDE w:val="0"/>
        <w:autoSpaceDN w:val="0"/>
        <w:adjustRightInd w:val="0"/>
        <w:spacing w:after="0" w:line="240" w:lineRule="auto"/>
        <w:jc w:val="both"/>
        <w:rPr>
          <w:rFonts w:cstheme="minorHAnsi"/>
          <w:color w:val="000000" w:themeColor="text1"/>
        </w:rPr>
      </w:pPr>
    </w:p>
    <w:p w:rsidR="0074332B" w:rsidRPr="00C018CA" w:rsidRDefault="0074332B" w:rsidP="0074332B">
      <w:pPr>
        <w:autoSpaceDE w:val="0"/>
        <w:autoSpaceDN w:val="0"/>
        <w:adjustRightInd w:val="0"/>
        <w:spacing w:after="0" w:line="240" w:lineRule="auto"/>
        <w:jc w:val="both"/>
      </w:pPr>
      <w:r w:rsidRPr="00C018CA">
        <w:t>Türkiye ekonomisi</w:t>
      </w:r>
      <w:r w:rsidR="00AB1E7C">
        <w:t>,</w:t>
      </w:r>
      <w:r w:rsidRPr="00C018CA">
        <w:t xml:space="preserve"> yılın ikinci çeyreğinde zincirlenmiş hacim endeksine göre yıllık</w:t>
      </w:r>
      <w:r w:rsidR="005B6F0A">
        <w:t xml:space="preserve"> </w:t>
      </w:r>
      <w:proofErr w:type="gramStart"/>
      <w:r w:rsidR="005B6F0A">
        <w:t>bazda</w:t>
      </w:r>
      <w:proofErr w:type="gramEnd"/>
      <w:r w:rsidRPr="00C018CA">
        <w:t xml:space="preserve"> %1,5 oranında daralmıştır. Mevsim ve takvim etkilerinden arındırılmış verilere göre çeyrek </w:t>
      </w:r>
      <w:r>
        <w:t>dönemde</w:t>
      </w:r>
      <w:r w:rsidRPr="00C018CA">
        <w:t xml:space="preserve"> ise ekonomi</w:t>
      </w:r>
      <w:r w:rsidR="00AB1E7C">
        <w:t>,</w:t>
      </w:r>
      <w:r w:rsidRPr="00C018CA">
        <w:t xml:space="preserve"> %1,2 </w:t>
      </w:r>
      <w:r w:rsidR="005B6F0A">
        <w:t xml:space="preserve">oranında </w:t>
      </w:r>
      <w:r w:rsidRPr="00C018CA">
        <w:t xml:space="preserve">büyümüştür. </w:t>
      </w:r>
    </w:p>
    <w:p w:rsidR="0074332B" w:rsidRDefault="0074332B" w:rsidP="0074332B">
      <w:pPr>
        <w:autoSpaceDE w:val="0"/>
        <w:autoSpaceDN w:val="0"/>
        <w:adjustRightInd w:val="0"/>
        <w:spacing w:after="0" w:line="240" w:lineRule="auto"/>
        <w:jc w:val="both"/>
        <w:rPr>
          <w:b/>
        </w:rPr>
      </w:pPr>
    </w:p>
    <w:p w:rsidR="0074332B" w:rsidRDefault="0074332B" w:rsidP="0074332B">
      <w:pPr>
        <w:autoSpaceDE w:val="0"/>
        <w:autoSpaceDN w:val="0"/>
        <w:adjustRightInd w:val="0"/>
        <w:spacing w:after="0" w:line="240" w:lineRule="auto"/>
        <w:jc w:val="both"/>
      </w:pPr>
      <w:r>
        <w:t>Türkiye ekonomisinin büyüklüğü Haziran 2019 itibarıyla bir önceki yılın aynı dönemine göre %18,4 azalarak</w:t>
      </w:r>
      <w:r w:rsidR="00AB1E7C">
        <w:t>,</w:t>
      </w:r>
      <w:r>
        <w:t xml:space="preserve"> 722 </w:t>
      </w:r>
      <w:r w:rsidR="00AB1E7C">
        <w:t>milyar ABD Doları’na gerilerken;</w:t>
      </w:r>
      <w:r>
        <w:t xml:space="preserve"> kişi başına düşen milli gelir</w:t>
      </w:r>
      <w:r w:rsidR="00AB1E7C">
        <w:t xml:space="preserve">, </w:t>
      </w:r>
      <w:r>
        <w:t xml:space="preserve">9 bin ABD Doları’nın altına inmiştir. </w:t>
      </w:r>
      <w:r w:rsidR="00AB1E7C">
        <w:t>G</w:t>
      </w:r>
      <w:r>
        <w:t>elir dağılımındaki tablo</w:t>
      </w:r>
      <w:r w:rsidR="00AB1E7C">
        <w:t xml:space="preserve">da </w:t>
      </w:r>
      <w:r>
        <w:t>0 değerinden uzaklaştıkça</w:t>
      </w:r>
      <w:r w:rsidR="00AB1E7C">
        <w:t xml:space="preserve"> </w:t>
      </w:r>
      <w:r>
        <w:t>eşitsizliğ</w:t>
      </w:r>
      <w:r w:rsidR="005B6F0A">
        <w:t xml:space="preserve">i gösteren </w:t>
      </w:r>
      <w:proofErr w:type="spellStart"/>
      <w:r>
        <w:t>Gini</w:t>
      </w:r>
      <w:proofErr w:type="spellEnd"/>
      <w:r>
        <w:t xml:space="preserve"> katsayısı</w:t>
      </w:r>
      <w:r w:rsidR="00AB1E7C">
        <w:t>,</w:t>
      </w:r>
      <w:r w:rsidR="005B6F0A">
        <w:t xml:space="preserve"> </w:t>
      </w:r>
      <w:r>
        <w:t>Türkiye için</w:t>
      </w:r>
      <w:r w:rsidRPr="00126E1F">
        <w:t xml:space="preserve"> </w:t>
      </w:r>
      <w:r>
        <w:t xml:space="preserve">0,408 değeriyle bozulmaya işaret etmektedir. Bu çerçevede </w:t>
      </w:r>
      <w:r w:rsidRPr="00126E1F">
        <w:t>gelirden en fazla</w:t>
      </w:r>
      <w:r w:rsidR="005B6F0A">
        <w:t xml:space="preserve"> ve en az</w:t>
      </w:r>
      <w:r w:rsidRPr="00126E1F">
        <w:t xml:space="preserve"> pay alan </w:t>
      </w:r>
      <w:r w:rsidR="005B6F0A">
        <w:t>%</w:t>
      </w:r>
      <w:r w:rsidRPr="00126E1F">
        <w:t>20’lik gru</w:t>
      </w:r>
      <w:r w:rsidR="005B6F0A">
        <w:t xml:space="preserve">plar karşılaştırıldığında </w:t>
      </w:r>
      <w:r>
        <w:t>farkın</w:t>
      </w:r>
      <w:r w:rsidRPr="00126E1F">
        <w:t xml:space="preserve"> </w:t>
      </w:r>
      <w:r>
        <w:t xml:space="preserve">Türkiye’de </w:t>
      </w:r>
      <w:r w:rsidRPr="00126E1F">
        <w:t xml:space="preserve">2018 yılında </w:t>
      </w:r>
      <w:r>
        <w:t xml:space="preserve">7,5’ten </w:t>
      </w:r>
      <w:r w:rsidRPr="00126E1F">
        <w:t>7,8</w:t>
      </w:r>
      <w:r>
        <w:t xml:space="preserve"> kata çıktığı görülmektedir.</w:t>
      </w:r>
    </w:p>
    <w:p w:rsidR="0074332B" w:rsidRDefault="0074332B" w:rsidP="0074332B">
      <w:pPr>
        <w:autoSpaceDE w:val="0"/>
        <w:autoSpaceDN w:val="0"/>
        <w:adjustRightInd w:val="0"/>
        <w:spacing w:after="0" w:line="240" w:lineRule="auto"/>
        <w:jc w:val="both"/>
      </w:pPr>
    </w:p>
    <w:p w:rsidR="0074332B" w:rsidRPr="00C018CA" w:rsidRDefault="0074332B" w:rsidP="0074332B">
      <w:pPr>
        <w:autoSpaceDE w:val="0"/>
        <w:autoSpaceDN w:val="0"/>
        <w:adjustRightInd w:val="0"/>
        <w:spacing w:after="0" w:line="240" w:lineRule="auto"/>
        <w:jc w:val="both"/>
      </w:pPr>
      <w:r w:rsidRPr="00C018CA">
        <w:t>Yılın ikinci çeyreğinde kamu tüketim harcamalarının desteği</w:t>
      </w:r>
      <w:r>
        <w:t xml:space="preserve">nin sürdüğü büyümeye, en yüksek katkıyı </w:t>
      </w:r>
      <w:r w:rsidR="005B6F0A">
        <w:t xml:space="preserve">önceki dönemde olduğu gibi </w:t>
      </w:r>
      <w:r w:rsidRPr="00C018CA">
        <w:t xml:space="preserve">net ihracat </w:t>
      </w:r>
      <w:r w:rsidR="00AB1E7C">
        <w:t>kalemi vermiştir.</w:t>
      </w:r>
      <w:r w:rsidRPr="00C018CA">
        <w:t xml:space="preserve"> </w:t>
      </w:r>
      <w:r w:rsidR="00AB1E7C">
        <w:t>Aynı</w:t>
      </w:r>
      <w:r w:rsidRPr="00C018CA">
        <w:t xml:space="preserve"> dönemde kamu tüketim harcamalarının yanı sıra özel tüketim </w:t>
      </w:r>
      <w:r w:rsidR="00AB1E7C">
        <w:t xml:space="preserve">de </w:t>
      </w:r>
      <w:r w:rsidRPr="00C018CA">
        <w:t>bir önceki çeyreğe kıyasla artmış</w:t>
      </w:r>
      <w:r w:rsidR="00AB1E7C">
        <w:t>,</w:t>
      </w:r>
      <w:r>
        <w:t xml:space="preserve"> i</w:t>
      </w:r>
      <w:r w:rsidRPr="00C018CA">
        <w:t>nşaat yatırımlarındaki gerilemenin hız kazandığı ve makine yatırımlarının büyümeyi belirgin biçimde aşağı çek</w:t>
      </w:r>
      <w:r>
        <w:t>tiği bir tablo</w:t>
      </w:r>
      <w:r w:rsidRPr="00C018CA">
        <w:t xml:space="preserve"> dikkat çekmiştir. </w:t>
      </w:r>
    </w:p>
    <w:p w:rsidR="00120294" w:rsidRDefault="0074332B" w:rsidP="0074332B">
      <w:pPr>
        <w:autoSpaceDE w:val="0"/>
        <w:autoSpaceDN w:val="0"/>
        <w:adjustRightInd w:val="0"/>
        <w:spacing w:after="0" w:line="240" w:lineRule="auto"/>
        <w:jc w:val="both"/>
        <w:rPr>
          <w:b/>
        </w:rPr>
      </w:pPr>
      <w:r>
        <w:rPr>
          <w:b/>
        </w:rPr>
        <w:t xml:space="preserve"> </w:t>
      </w:r>
    </w:p>
    <w:p w:rsidR="0074332B" w:rsidRPr="00512FD3" w:rsidRDefault="0074332B" w:rsidP="0074332B">
      <w:pPr>
        <w:autoSpaceDE w:val="0"/>
        <w:autoSpaceDN w:val="0"/>
        <w:adjustRightInd w:val="0"/>
        <w:spacing w:after="0" w:line="240" w:lineRule="auto"/>
        <w:jc w:val="both"/>
        <w:rPr>
          <w:rFonts w:cstheme="minorHAnsi"/>
          <w:b/>
          <w:color w:val="000000"/>
          <w:sz w:val="21"/>
          <w:szCs w:val="21"/>
          <w:shd w:val="clear" w:color="auto" w:fill="FFFFFF"/>
        </w:rPr>
      </w:pPr>
      <w:r w:rsidRPr="00512FD3">
        <w:rPr>
          <w:rFonts w:cstheme="minorHAnsi"/>
          <w:b/>
          <w:color w:val="000000"/>
          <w:sz w:val="21"/>
          <w:szCs w:val="21"/>
          <w:shd w:val="clear" w:color="auto" w:fill="FFFFFF"/>
        </w:rPr>
        <w:t>GSYH - Harcamalar Yöntemiyle Büyümeye Katkı</w:t>
      </w:r>
    </w:p>
    <w:p w:rsidR="0074332B" w:rsidRDefault="0074332B" w:rsidP="0074332B">
      <w:pPr>
        <w:autoSpaceDE w:val="0"/>
        <w:autoSpaceDN w:val="0"/>
        <w:adjustRightInd w:val="0"/>
        <w:spacing w:after="0" w:line="240" w:lineRule="auto"/>
        <w:jc w:val="both"/>
        <w:rPr>
          <w:rFonts w:cstheme="minorHAnsi"/>
          <w:color w:val="000000"/>
          <w:sz w:val="21"/>
          <w:szCs w:val="21"/>
          <w:shd w:val="clear" w:color="auto" w:fill="FFFFFF"/>
        </w:rPr>
      </w:pPr>
      <w:r w:rsidRPr="00512FD3">
        <w:rPr>
          <w:rFonts w:cstheme="minorHAnsi"/>
          <w:color w:val="000000"/>
          <w:sz w:val="21"/>
          <w:szCs w:val="21"/>
          <w:shd w:val="clear" w:color="auto" w:fill="FFFFFF"/>
        </w:rPr>
        <w:t>(% puan)</w:t>
      </w:r>
    </w:p>
    <w:p w:rsidR="005E54D7" w:rsidRDefault="005E54D7" w:rsidP="0074332B">
      <w:pPr>
        <w:autoSpaceDE w:val="0"/>
        <w:autoSpaceDN w:val="0"/>
        <w:adjustRightInd w:val="0"/>
        <w:spacing w:after="0" w:line="240" w:lineRule="auto"/>
        <w:jc w:val="both"/>
        <w:rPr>
          <w:rFonts w:ascii="Calibri" w:eastAsia="Times New Roman" w:hAnsi="Calibri" w:cs="Calibri"/>
          <w:b/>
          <w:i/>
          <w:color w:val="000000"/>
          <w:sz w:val="20"/>
          <w:szCs w:val="20"/>
        </w:rPr>
      </w:pPr>
    </w:p>
    <w:p w:rsidR="0074332B" w:rsidRDefault="0074332B" w:rsidP="0074332B">
      <w:pPr>
        <w:autoSpaceDE w:val="0"/>
        <w:autoSpaceDN w:val="0"/>
        <w:adjustRightInd w:val="0"/>
        <w:spacing w:after="0" w:line="240" w:lineRule="auto"/>
        <w:jc w:val="both"/>
        <w:rPr>
          <w:rFonts w:ascii="Calibri" w:eastAsia="Times New Roman" w:hAnsi="Calibri" w:cs="Calibri"/>
          <w:b/>
          <w:i/>
          <w:color w:val="000000"/>
          <w:sz w:val="20"/>
          <w:szCs w:val="20"/>
        </w:rPr>
      </w:pPr>
      <w:r w:rsidRPr="009248AC">
        <w:rPr>
          <w:noProof/>
          <w:szCs w:val="20"/>
        </w:rPr>
        <w:drawing>
          <wp:inline distT="0" distB="0" distL="0" distR="0">
            <wp:extent cx="3383573" cy="1453155"/>
            <wp:effectExtent l="19050" t="0" r="7327" b="0"/>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390008" cy="1455919"/>
                    </a:xfrm>
                    <a:prstGeom prst="rect">
                      <a:avLst/>
                    </a:prstGeom>
                    <a:noFill/>
                    <a:ln w="9525">
                      <a:noFill/>
                      <a:miter lim="800000"/>
                      <a:headEnd/>
                      <a:tailEnd/>
                    </a:ln>
                  </pic:spPr>
                </pic:pic>
              </a:graphicData>
            </a:graphic>
          </wp:inline>
        </w:drawing>
      </w:r>
    </w:p>
    <w:p w:rsidR="000D3A6C" w:rsidRDefault="000D3A6C" w:rsidP="0074332B">
      <w:pPr>
        <w:autoSpaceDE w:val="0"/>
        <w:autoSpaceDN w:val="0"/>
        <w:adjustRightInd w:val="0"/>
        <w:spacing w:after="0" w:line="240" w:lineRule="auto"/>
        <w:jc w:val="both"/>
        <w:rPr>
          <w:rFonts w:ascii="Calibri" w:eastAsia="Times New Roman" w:hAnsi="Calibri" w:cs="Calibri"/>
          <w:b/>
          <w:i/>
          <w:color w:val="000000"/>
          <w:sz w:val="20"/>
          <w:szCs w:val="20"/>
        </w:rPr>
      </w:pPr>
    </w:p>
    <w:p w:rsidR="0074332B" w:rsidRDefault="0074332B" w:rsidP="0074332B">
      <w:pPr>
        <w:autoSpaceDE w:val="0"/>
        <w:autoSpaceDN w:val="0"/>
        <w:adjustRightInd w:val="0"/>
        <w:spacing w:after="0" w:line="240" w:lineRule="auto"/>
        <w:jc w:val="both"/>
        <w:rPr>
          <w:rFonts w:ascii="Calibri" w:eastAsia="Times New Roman" w:hAnsi="Calibri" w:cs="Calibri"/>
          <w:b/>
          <w:i/>
          <w:color w:val="000000"/>
          <w:sz w:val="20"/>
          <w:szCs w:val="20"/>
        </w:rPr>
      </w:pPr>
      <w:r w:rsidRPr="006E52F0">
        <w:rPr>
          <w:rFonts w:ascii="Calibri" w:eastAsia="Times New Roman" w:hAnsi="Calibri" w:cs="Calibri"/>
          <w:b/>
          <w:i/>
          <w:color w:val="000000"/>
          <w:sz w:val="20"/>
          <w:szCs w:val="20"/>
        </w:rPr>
        <w:t>Kaynak: TÜİK</w:t>
      </w:r>
    </w:p>
    <w:p w:rsidR="00BA5A68" w:rsidRPr="00924407" w:rsidRDefault="00BA5A68" w:rsidP="0074332B">
      <w:pPr>
        <w:autoSpaceDE w:val="0"/>
        <w:autoSpaceDN w:val="0"/>
        <w:adjustRightInd w:val="0"/>
        <w:spacing w:after="0" w:line="240" w:lineRule="auto"/>
        <w:jc w:val="both"/>
        <w:rPr>
          <w:rFonts w:ascii="Calibri" w:eastAsia="Times New Roman" w:hAnsi="Calibri" w:cs="Calibri"/>
          <w:b/>
          <w:i/>
          <w:color w:val="000000"/>
          <w:sz w:val="20"/>
          <w:szCs w:val="20"/>
        </w:rPr>
      </w:pPr>
    </w:p>
    <w:p w:rsidR="0074332B" w:rsidRPr="005B6F0A" w:rsidRDefault="00AB1E7C" w:rsidP="0074332B">
      <w:pPr>
        <w:autoSpaceDE w:val="0"/>
        <w:autoSpaceDN w:val="0"/>
        <w:adjustRightInd w:val="0"/>
        <w:spacing w:after="0" w:line="240" w:lineRule="auto"/>
        <w:jc w:val="both"/>
      </w:pPr>
      <w:r>
        <w:rPr>
          <w:rFonts w:cstheme="minorHAnsi"/>
          <w:shd w:val="clear" w:color="auto" w:fill="FFFFFF"/>
        </w:rPr>
        <w:t>Harcamaların ardından ü</w:t>
      </w:r>
      <w:r w:rsidR="0074332B" w:rsidRPr="005B6F0A">
        <w:rPr>
          <w:rFonts w:cstheme="minorHAnsi"/>
          <w:shd w:val="clear" w:color="auto" w:fill="FFFFFF"/>
        </w:rPr>
        <w:t>reti</w:t>
      </w:r>
      <w:r>
        <w:rPr>
          <w:rFonts w:cstheme="minorHAnsi"/>
          <w:shd w:val="clear" w:color="auto" w:fill="FFFFFF"/>
        </w:rPr>
        <w:t>m yöntemine göre incelendiğinde ise</w:t>
      </w:r>
      <w:r w:rsidR="0074332B" w:rsidRPr="005B6F0A">
        <w:rPr>
          <w:rFonts w:cstheme="minorHAnsi"/>
          <w:shd w:val="clear" w:color="auto" w:fill="FFFFFF"/>
        </w:rPr>
        <w:t xml:space="preserve"> sanayi ve inşaat </w:t>
      </w:r>
      <w:r>
        <w:rPr>
          <w:rFonts w:cstheme="minorHAnsi"/>
          <w:shd w:val="clear" w:color="auto" w:fill="FFFFFF"/>
        </w:rPr>
        <w:t xml:space="preserve">sektörleri </w:t>
      </w:r>
      <w:r w:rsidR="0074332B" w:rsidRPr="005B6F0A">
        <w:rPr>
          <w:rFonts w:cstheme="minorHAnsi"/>
          <w:shd w:val="clear" w:color="auto" w:fill="FFFFFF"/>
        </w:rPr>
        <w:t>büyümeyi aşağı</w:t>
      </w:r>
      <w:r w:rsidR="005B6F0A">
        <w:rPr>
          <w:rFonts w:cstheme="minorHAnsi"/>
          <w:shd w:val="clear" w:color="auto" w:fill="FFFFFF"/>
        </w:rPr>
        <w:t>ya</w:t>
      </w:r>
      <w:r w:rsidR="0074332B" w:rsidRPr="005B6F0A">
        <w:rPr>
          <w:rFonts w:cstheme="minorHAnsi"/>
          <w:shd w:val="clear" w:color="auto" w:fill="FFFFFF"/>
        </w:rPr>
        <w:t xml:space="preserve"> çekmiş, hizmetler ve tarım </w:t>
      </w:r>
      <w:r>
        <w:rPr>
          <w:rFonts w:cstheme="minorHAnsi"/>
          <w:shd w:val="clear" w:color="auto" w:fill="FFFFFF"/>
        </w:rPr>
        <w:t>sektörleri</w:t>
      </w:r>
      <w:r w:rsidR="0074332B" w:rsidRPr="005B6F0A">
        <w:rPr>
          <w:rFonts w:cstheme="minorHAnsi"/>
          <w:shd w:val="clear" w:color="auto" w:fill="FFFFFF"/>
        </w:rPr>
        <w:t xml:space="preserve"> yıllık GSYH artışını yukarı yönlü </w:t>
      </w:r>
      <w:r w:rsidR="005B6F0A">
        <w:rPr>
          <w:rFonts w:cstheme="minorHAnsi"/>
          <w:shd w:val="clear" w:color="auto" w:fill="FFFFFF"/>
        </w:rPr>
        <w:t xml:space="preserve">olarak </w:t>
      </w:r>
      <w:r w:rsidR="0074332B" w:rsidRPr="005B6F0A">
        <w:rPr>
          <w:rFonts w:cstheme="minorHAnsi"/>
          <w:shd w:val="clear" w:color="auto" w:fill="FFFFFF"/>
        </w:rPr>
        <w:t>etkilemiştir.</w:t>
      </w:r>
      <w:r w:rsidR="0074332B" w:rsidRPr="005B6F0A">
        <w:t xml:space="preserve"> Mevsim ve takvim etkilerinden arındırılmış verilere göre</w:t>
      </w:r>
      <w:r w:rsidR="005B6F0A">
        <w:t>;</w:t>
      </w:r>
      <w:r w:rsidR="00DF0524">
        <w:t xml:space="preserve"> inşaat sektöründeki daralma</w:t>
      </w:r>
      <w:r w:rsidR="0074332B" w:rsidRPr="005B6F0A">
        <w:t xml:space="preserve"> art arda beşinci </w:t>
      </w:r>
      <w:r w:rsidR="005B6F0A">
        <w:t>çeyrek dönem</w:t>
      </w:r>
      <w:r w:rsidR="0074332B" w:rsidRPr="005B6F0A">
        <w:t>e ulaş</w:t>
      </w:r>
      <w:r w:rsidR="00DF0524">
        <w:t>mış,</w:t>
      </w:r>
      <w:r w:rsidR="0074332B" w:rsidRPr="005B6F0A">
        <w:t xml:space="preserve"> geçen yılın tüm çeyrek dönemlerinde daralan sanayi sektöründe bu yılın ilk iki çeyreğinde çeyreklik </w:t>
      </w:r>
      <w:proofErr w:type="gramStart"/>
      <w:r w:rsidR="0074332B" w:rsidRPr="005B6F0A">
        <w:t>bazda</w:t>
      </w:r>
      <w:proofErr w:type="gramEnd"/>
      <w:r w:rsidR="0074332B" w:rsidRPr="005B6F0A">
        <w:t xml:space="preserve"> büyüme kaydedilmiştir.</w:t>
      </w:r>
    </w:p>
    <w:p w:rsidR="0074332B" w:rsidRDefault="0074332B" w:rsidP="0074332B">
      <w:pPr>
        <w:autoSpaceDE w:val="0"/>
        <w:autoSpaceDN w:val="0"/>
        <w:adjustRightInd w:val="0"/>
        <w:spacing w:after="0" w:line="240" w:lineRule="auto"/>
        <w:jc w:val="both"/>
        <w:rPr>
          <w:rFonts w:cstheme="minorHAnsi"/>
          <w:b/>
          <w:color w:val="000000"/>
          <w:sz w:val="21"/>
          <w:szCs w:val="21"/>
          <w:highlight w:val="yellow"/>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B1470D" w:rsidRDefault="00B1470D" w:rsidP="0074332B">
      <w:pPr>
        <w:autoSpaceDE w:val="0"/>
        <w:autoSpaceDN w:val="0"/>
        <w:adjustRightInd w:val="0"/>
        <w:spacing w:after="0" w:line="240" w:lineRule="auto"/>
        <w:jc w:val="both"/>
        <w:rPr>
          <w:rFonts w:cstheme="minorHAnsi"/>
          <w:b/>
          <w:color w:val="000000"/>
          <w:sz w:val="21"/>
          <w:szCs w:val="21"/>
          <w:shd w:val="clear" w:color="auto" w:fill="FFFFFF"/>
        </w:rPr>
      </w:pPr>
    </w:p>
    <w:p w:rsidR="0074332B" w:rsidRPr="006E52F0" w:rsidRDefault="0074332B" w:rsidP="0074332B">
      <w:pPr>
        <w:autoSpaceDE w:val="0"/>
        <w:autoSpaceDN w:val="0"/>
        <w:adjustRightInd w:val="0"/>
        <w:spacing w:after="0" w:line="240" w:lineRule="auto"/>
        <w:jc w:val="both"/>
        <w:rPr>
          <w:rFonts w:cstheme="minorHAnsi"/>
          <w:b/>
          <w:color w:val="000000"/>
          <w:sz w:val="21"/>
          <w:szCs w:val="21"/>
          <w:shd w:val="clear" w:color="auto" w:fill="FFFFFF"/>
        </w:rPr>
      </w:pPr>
      <w:r w:rsidRPr="006E52F0">
        <w:rPr>
          <w:rFonts w:cstheme="minorHAnsi"/>
          <w:b/>
          <w:color w:val="000000"/>
          <w:sz w:val="21"/>
          <w:szCs w:val="21"/>
          <w:shd w:val="clear" w:color="auto" w:fill="FFFFFF"/>
        </w:rPr>
        <w:lastRenderedPageBreak/>
        <w:t xml:space="preserve">GSYH - Üretim Yöntemiyle </w:t>
      </w:r>
    </w:p>
    <w:p w:rsidR="0074332B" w:rsidRPr="006E52F0" w:rsidRDefault="0074332B" w:rsidP="0074332B">
      <w:pPr>
        <w:autoSpaceDE w:val="0"/>
        <w:autoSpaceDN w:val="0"/>
        <w:adjustRightInd w:val="0"/>
        <w:spacing w:after="0" w:line="240" w:lineRule="auto"/>
        <w:jc w:val="both"/>
        <w:rPr>
          <w:rFonts w:cstheme="minorHAnsi"/>
          <w:color w:val="000000"/>
          <w:sz w:val="21"/>
          <w:szCs w:val="21"/>
          <w:shd w:val="clear" w:color="auto" w:fill="FFFFFF"/>
        </w:rPr>
      </w:pPr>
      <w:r w:rsidRPr="006E52F0">
        <w:rPr>
          <w:rFonts w:cstheme="minorHAnsi"/>
          <w:color w:val="000000"/>
          <w:sz w:val="21"/>
          <w:szCs w:val="21"/>
          <w:shd w:val="clear" w:color="auto" w:fill="FFFFFF"/>
        </w:rPr>
        <w:t>(% puan)</w:t>
      </w:r>
    </w:p>
    <w:p w:rsidR="0074332B" w:rsidRPr="006E52F0" w:rsidRDefault="0074332B" w:rsidP="0074332B">
      <w:pPr>
        <w:autoSpaceDE w:val="0"/>
        <w:autoSpaceDN w:val="0"/>
        <w:adjustRightInd w:val="0"/>
        <w:spacing w:after="0" w:line="240" w:lineRule="auto"/>
        <w:jc w:val="both"/>
        <w:rPr>
          <w:rFonts w:cstheme="minorHAnsi"/>
          <w:color w:val="000000"/>
          <w:sz w:val="21"/>
          <w:szCs w:val="21"/>
          <w:shd w:val="clear" w:color="auto" w:fill="FFFFFF"/>
        </w:rPr>
      </w:pPr>
    </w:p>
    <w:p w:rsidR="0074332B" w:rsidRPr="006E52F0" w:rsidRDefault="0074332B" w:rsidP="0074332B">
      <w:pPr>
        <w:autoSpaceDE w:val="0"/>
        <w:autoSpaceDN w:val="0"/>
        <w:adjustRightInd w:val="0"/>
        <w:spacing w:after="0" w:line="240" w:lineRule="auto"/>
        <w:jc w:val="both"/>
        <w:rPr>
          <w:rFonts w:cstheme="minorHAnsi"/>
          <w:color w:val="000000"/>
          <w:sz w:val="21"/>
          <w:szCs w:val="21"/>
          <w:shd w:val="clear" w:color="auto" w:fill="FFFFFF"/>
        </w:rPr>
      </w:pPr>
      <w:r w:rsidRPr="006E52F0">
        <w:rPr>
          <w:noProof/>
          <w:szCs w:val="21"/>
          <w:shd w:val="clear" w:color="auto" w:fill="FFFFFF"/>
        </w:rPr>
        <w:drawing>
          <wp:inline distT="0" distB="0" distL="0" distR="0">
            <wp:extent cx="4086958" cy="1131773"/>
            <wp:effectExtent l="19050" t="0" r="8792"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101348" cy="1135758"/>
                    </a:xfrm>
                    <a:prstGeom prst="rect">
                      <a:avLst/>
                    </a:prstGeom>
                    <a:noFill/>
                    <a:ln w="9525">
                      <a:noFill/>
                      <a:miter lim="800000"/>
                      <a:headEnd/>
                      <a:tailEnd/>
                    </a:ln>
                  </pic:spPr>
                </pic:pic>
              </a:graphicData>
            </a:graphic>
          </wp:inline>
        </w:drawing>
      </w:r>
    </w:p>
    <w:p w:rsidR="0074332B" w:rsidRPr="006E52F0" w:rsidRDefault="0074332B" w:rsidP="0074332B">
      <w:pPr>
        <w:autoSpaceDE w:val="0"/>
        <w:autoSpaceDN w:val="0"/>
        <w:adjustRightInd w:val="0"/>
        <w:spacing w:after="0" w:line="240" w:lineRule="auto"/>
        <w:jc w:val="both"/>
        <w:rPr>
          <w:rFonts w:cstheme="minorHAnsi"/>
          <w:color w:val="000000"/>
          <w:sz w:val="21"/>
          <w:szCs w:val="21"/>
          <w:shd w:val="clear" w:color="auto" w:fill="FFFFFF"/>
        </w:rPr>
      </w:pPr>
    </w:p>
    <w:p w:rsidR="0074332B" w:rsidRPr="00924407" w:rsidRDefault="0074332B" w:rsidP="0074332B">
      <w:pPr>
        <w:autoSpaceDE w:val="0"/>
        <w:autoSpaceDN w:val="0"/>
        <w:adjustRightInd w:val="0"/>
        <w:spacing w:after="0" w:line="240" w:lineRule="auto"/>
        <w:jc w:val="both"/>
        <w:rPr>
          <w:rFonts w:ascii="Calibri" w:eastAsia="Times New Roman" w:hAnsi="Calibri" w:cs="Calibri"/>
          <w:b/>
          <w:i/>
          <w:color w:val="000000"/>
          <w:sz w:val="20"/>
          <w:szCs w:val="20"/>
        </w:rPr>
      </w:pPr>
      <w:r w:rsidRPr="006E52F0">
        <w:rPr>
          <w:rFonts w:ascii="Calibri" w:eastAsia="Times New Roman" w:hAnsi="Calibri" w:cs="Calibri"/>
          <w:b/>
          <w:i/>
          <w:color w:val="000000"/>
          <w:sz w:val="20"/>
          <w:szCs w:val="20"/>
        </w:rPr>
        <w:t>Kaynak: TÜİK</w:t>
      </w:r>
    </w:p>
    <w:p w:rsidR="0074332B" w:rsidRPr="00924407" w:rsidRDefault="0074332B" w:rsidP="0074332B">
      <w:pPr>
        <w:autoSpaceDE w:val="0"/>
        <w:autoSpaceDN w:val="0"/>
        <w:adjustRightInd w:val="0"/>
        <w:spacing w:after="0" w:line="240" w:lineRule="auto"/>
        <w:jc w:val="both"/>
        <w:rPr>
          <w:rFonts w:ascii="Calibri" w:eastAsia="Times New Roman" w:hAnsi="Calibri" w:cs="Calibri"/>
          <w:b/>
          <w:i/>
          <w:color w:val="000000"/>
          <w:sz w:val="20"/>
          <w:szCs w:val="20"/>
        </w:rPr>
      </w:pPr>
    </w:p>
    <w:p w:rsidR="004B3E01" w:rsidRDefault="004B3E01" w:rsidP="004B3E01">
      <w:pPr>
        <w:autoSpaceDE w:val="0"/>
        <w:autoSpaceDN w:val="0"/>
        <w:adjustRightInd w:val="0"/>
        <w:spacing w:after="0" w:line="240" w:lineRule="auto"/>
        <w:jc w:val="both"/>
      </w:pPr>
      <w:r>
        <w:t xml:space="preserve">Yılın ikinci yarısına ilişkin ilk öncü göstergelere bakıldığında; sanayi sektörü bir iyileşme sinyali vermiş olsa da yatırımlar halen ivme kazanmış değildir. Takvim etkisinden arındırılmış Sanayi Üretim Endeksi’nin Temmuz’da yıllık </w:t>
      </w:r>
      <w:proofErr w:type="gramStart"/>
      <w:r>
        <w:t>bazda</w:t>
      </w:r>
      <w:proofErr w:type="gramEnd"/>
      <w:r>
        <w:t xml:space="preserve"> %1,2 oranında gerilediği, ancak bu düşüşün son 11 ayın en zayıf düşüşü olduğu ve aylık bazda sanayi üretiminde de toparlanmanın daha belirgin hale geldiği gözlenmiştir.</w:t>
      </w:r>
    </w:p>
    <w:p w:rsidR="0074332B" w:rsidRPr="00924407" w:rsidRDefault="0074332B" w:rsidP="0074332B">
      <w:pPr>
        <w:autoSpaceDE w:val="0"/>
        <w:autoSpaceDN w:val="0"/>
        <w:adjustRightInd w:val="0"/>
        <w:spacing w:after="0" w:line="240" w:lineRule="auto"/>
        <w:jc w:val="both"/>
        <w:rPr>
          <w:rFonts w:cstheme="minorHAnsi"/>
          <w:color w:val="000000"/>
          <w:sz w:val="21"/>
          <w:szCs w:val="21"/>
          <w:shd w:val="clear" w:color="auto" w:fill="FFFFFF"/>
        </w:rPr>
      </w:pPr>
    </w:p>
    <w:p w:rsidR="0074332B" w:rsidRPr="00090EFE" w:rsidRDefault="0074332B" w:rsidP="006B1F74">
      <w:pPr>
        <w:autoSpaceDE w:val="0"/>
        <w:autoSpaceDN w:val="0"/>
        <w:adjustRightInd w:val="0"/>
        <w:spacing w:after="0" w:line="240" w:lineRule="auto"/>
        <w:jc w:val="both"/>
        <w:rPr>
          <w:rFonts w:eastAsia="Times New Roman" w:cs="Calibri"/>
          <w:b/>
          <w:i/>
          <w:color w:val="632423"/>
          <w:sz w:val="24"/>
          <w:szCs w:val="24"/>
        </w:rPr>
      </w:pPr>
      <w:r w:rsidRPr="00090EFE">
        <w:rPr>
          <w:rFonts w:eastAsia="Times New Roman" w:cs="Calibri"/>
          <w:b/>
          <w:color w:val="632423"/>
          <w:sz w:val="24"/>
          <w:szCs w:val="24"/>
        </w:rPr>
        <w:t xml:space="preserve">Enflasyon </w:t>
      </w:r>
      <w:r w:rsidRPr="00090EFE">
        <w:rPr>
          <w:rFonts w:eastAsia="Times New Roman" w:cs="Calibri"/>
          <w:b/>
          <w:color w:val="632423"/>
          <w:sz w:val="24"/>
          <w:szCs w:val="24"/>
        </w:rPr>
        <w:tab/>
      </w:r>
      <w:r w:rsidRPr="00090EFE">
        <w:rPr>
          <w:rFonts w:eastAsia="Times New Roman" w:cs="Calibri"/>
          <w:b/>
          <w:color w:val="632423"/>
          <w:sz w:val="24"/>
          <w:szCs w:val="24"/>
        </w:rPr>
        <w:tab/>
        <w:t xml:space="preserve">                   </w:t>
      </w:r>
      <w:r w:rsidRPr="00090EFE">
        <w:rPr>
          <w:rFonts w:eastAsia="Times New Roman" w:cs="Calibri"/>
          <w:b/>
          <w:color w:val="632423"/>
          <w:sz w:val="24"/>
          <w:szCs w:val="24"/>
        </w:rPr>
        <w:tab/>
        <w:t xml:space="preserve">                             </w:t>
      </w:r>
      <w:r w:rsidR="006B1F74" w:rsidRPr="00090EFE">
        <w:rPr>
          <w:rFonts w:eastAsia="Times New Roman" w:cs="Calibri"/>
          <w:b/>
          <w:color w:val="632423"/>
          <w:sz w:val="24"/>
          <w:szCs w:val="24"/>
        </w:rPr>
        <w:t xml:space="preserve">           </w:t>
      </w:r>
      <w:r w:rsidRPr="00090EFE">
        <w:rPr>
          <w:rFonts w:eastAsia="Times New Roman" w:cs="Calibri"/>
          <w:b/>
          <w:color w:val="632423"/>
          <w:sz w:val="24"/>
          <w:szCs w:val="24"/>
        </w:rPr>
        <w:t xml:space="preserve">  </w:t>
      </w:r>
      <w:r w:rsidR="000D3A6C" w:rsidRPr="00090EFE">
        <w:rPr>
          <w:rFonts w:eastAsia="Times New Roman" w:cs="Calibri"/>
          <w:b/>
          <w:i/>
          <w:color w:val="632423"/>
          <w:sz w:val="24"/>
          <w:szCs w:val="24"/>
        </w:rPr>
        <w:t>26 ay sonra tek haneye ulaşıldı</w:t>
      </w:r>
    </w:p>
    <w:p w:rsidR="006B1F74" w:rsidRPr="00090EFE" w:rsidRDefault="006B1F74" w:rsidP="006B1F74">
      <w:pPr>
        <w:autoSpaceDE w:val="0"/>
        <w:autoSpaceDN w:val="0"/>
        <w:adjustRightInd w:val="0"/>
        <w:spacing w:after="0" w:line="240" w:lineRule="auto"/>
        <w:jc w:val="both"/>
        <w:rPr>
          <w:rFonts w:ascii="Calibri" w:hAnsi="Calibri" w:cs="Calibri"/>
          <w:color w:val="000000"/>
        </w:rPr>
      </w:pPr>
    </w:p>
    <w:p w:rsidR="00007E02" w:rsidRDefault="00090EFE" w:rsidP="0074332B">
      <w:pPr>
        <w:autoSpaceDE w:val="0"/>
        <w:autoSpaceDN w:val="0"/>
        <w:adjustRightInd w:val="0"/>
        <w:spacing w:after="0" w:line="240" w:lineRule="auto"/>
        <w:jc w:val="both"/>
        <w:rPr>
          <w:rFonts w:cstheme="minorHAnsi"/>
          <w:color w:val="000000"/>
          <w:shd w:val="clear" w:color="auto" w:fill="FFFFFF"/>
        </w:rPr>
      </w:pPr>
      <w:r w:rsidRPr="00090EFE">
        <w:rPr>
          <w:rFonts w:cstheme="minorHAnsi"/>
          <w:color w:val="000000"/>
          <w:shd w:val="clear" w:color="auto" w:fill="FFFFFF"/>
        </w:rPr>
        <w:t>TÜİK verile</w:t>
      </w:r>
      <w:r w:rsidR="00007E02">
        <w:rPr>
          <w:rFonts w:cstheme="minorHAnsi"/>
          <w:color w:val="000000"/>
          <w:shd w:val="clear" w:color="auto" w:fill="FFFFFF"/>
        </w:rPr>
        <w:t>rin</w:t>
      </w:r>
      <w:r w:rsidR="005E54D7">
        <w:rPr>
          <w:rFonts w:cstheme="minorHAnsi"/>
          <w:color w:val="000000"/>
          <w:shd w:val="clear" w:color="auto" w:fill="FFFFFF"/>
        </w:rPr>
        <w:t xml:space="preserve">e göre; </w:t>
      </w:r>
      <w:r w:rsidRPr="00090EFE">
        <w:rPr>
          <w:rFonts w:cstheme="minorHAnsi"/>
          <w:color w:val="000000"/>
          <w:shd w:val="clear" w:color="auto" w:fill="FFFFFF"/>
        </w:rPr>
        <w:t xml:space="preserve">TÜFE, Eylül’de aylık bazda %0,99 oranında artış gösterirken, geçen yılın aynı ayında TL'deki değer kaybı sonrası yaşanan %6 oranındaki yükselişin oluşturduğu </w:t>
      </w:r>
      <w:proofErr w:type="gramStart"/>
      <w:r w:rsidRPr="00090EFE">
        <w:rPr>
          <w:rFonts w:cstheme="minorHAnsi"/>
          <w:color w:val="000000"/>
          <w:shd w:val="clear" w:color="auto" w:fill="FFFFFF"/>
        </w:rPr>
        <w:t>baz</w:t>
      </w:r>
      <w:proofErr w:type="gramEnd"/>
      <w:r w:rsidRPr="00090EFE">
        <w:rPr>
          <w:rFonts w:cstheme="minorHAnsi"/>
          <w:color w:val="000000"/>
          <w:shd w:val="clear" w:color="auto" w:fill="FFFFFF"/>
        </w:rPr>
        <w:t xml:space="preserve"> etkisiyle yıllık bazda 5 puanın üzerinde gerileyerek %9,</w:t>
      </w:r>
      <w:r w:rsidR="000B205A">
        <w:rPr>
          <w:rFonts w:cstheme="minorHAnsi"/>
          <w:color w:val="000000"/>
          <w:shd w:val="clear" w:color="auto" w:fill="FFFFFF"/>
        </w:rPr>
        <w:t>2</w:t>
      </w:r>
      <w:r w:rsidRPr="00090EFE">
        <w:rPr>
          <w:rFonts w:cstheme="minorHAnsi"/>
          <w:color w:val="000000"/>
          <w:shd w:val="clear" w:color="auto" w:fill="FFFFFF"/>
        </w:rPr>
        <w:t xml:space="preserve">6'ya inmiştir. </w:t>
      </w:r>
      <w:r w:rsidR="00007E02" w:rsidRPr="00090EFE">
        <w:rPr>
          <w:rFonts w:cstheme="minorHAnsi"/>
          <w:color w:val="000000"/>
          <w:shd w:val="clear" w:color="auto" w:fill="FFFFFF"/>
        </w:rPr>
        <w:t xml:space="preserve">Yurtiçi üretici fiyatları (Yİ-ÜFE) ise Eylül ayında bir önceki aya göre %0,13, yıllık </w:t>
      </w:r>
      <w:proofErr w:type="gramStart"/>
      <w:r w:rsidR="00007E02" w:rsidRPr="00090EFE">
        <w:rPr>
          <w:rFonts w:cstheme="minorHAnsi"/>
          <w:color w:val="000000"/>
          <w:shd w:val="clear" w:color="auto" w:fill="FFFFFF"/>
        </w:rPr>
        <w:t>bazda</w:t>
      </w:r>
      <w:proofErr w:type="gramEnd"/>
      <w:r w:rsidR="00007E02" w:rsidRPr="00090EFE">
        <w:rPr>
          <w:rFonts w:cstheme="minorHAnsi"/>
          <w:color w:val="000000"/>
          <w:shd w:val="clear" w:color="auto" w:fill="FFFFFF"/>
        </w:rPr>
        <w:t xml:space="preserve"> ise %26,44 olmuştur.</w:t>
      </w:r>
    </w:p>
    <w:p w:rsidR="00007E02" w:rsidRDefault="00007E02" w:rsidP="0074332B">
      <w:pPr>
        <w:autoSpaceDE w:val="0"/>
        <w:autoSpaceDN w:val="0"/>
        <w:adjustRightInd w:val="0"/>
        <w:spacing w:after="0" w:line="240" w:lineRule="auto"/>
        <w:jc w:val="both"/>
        <w:rPr>
          <w:rFonts w:cstheme="minorHAnsi"/>
          <w:color w:val="000000"/>
          <w:shd w:val="clear" w:color="auto" w:fill="FFFFFF"/>
        </w:rPr>
      </w:pPr>
    </w:p>
    <w:p w:rsidR="002B746D" w:rsidRDefault="00007E02" w:rsidP="0074332B">
      <w:pPr>
        <w:autoSpaceDE w:val="0"/>
        <w:autoSpaceDN w:val="0"/>
        <w:adjustRightInd w:val="0"/>
        <w:spacing w:after="0" w:line="240" w:lineRule="auto"/>
        <w:jc w:val="both"/>
        <w:rPr>
          <w:rFonts w:cstheme="minorHAnsi"/>
          <w:b/>
          <w:color w:val="000000"/>
          <w:shd w:val="clear" w:color="auto" w:fill="FFFFFF"/>
        </w:rPr>
      </w:pPr>
      <w:proofErr w:type="spellStart"/>
      <w:r>
        <w:rPr>
          <w:rFonts w:cstheme="minorHAnsi"/>
          <w:color w:val="000000"/>
          <w:shd w:val="clear" w:color="auto" w:fill="FFFFFF"/>
        </w:rPr>
        <w:t>TÜFE’de</w:t>
      </w:r>
      <w:proofErr w:type="spellEnd"/>
      <w:r w:rsidR="00090EFE" w:rsidRPr="00090EFE">
        <w:rPr>
          <w:rFonts w:cstheme="minorHAnsi"/>
          <w:color w:val="000000"/>
          <w:shd w:val="clear" w:color="auto" w:fill="FFFFFF"/>
        </w:rPr>
        <w:t xml:space="preserve"> yüksek ağırlığa sahip olan gıda enflasyonu Eylül ayında 0,6 oranında düşüş yaşarken</w:t>
      </w:r>
      <w:r>
        <w:rPr>
          <w:rFonts w:cstheme="minorHAnsi"/>
          <w:color w:val="000000"/>
          <w:shd w:val="clear" w:color="auto" w:fill="FFFFFF"/>
        </w:rPr>
        <w:t>,</w:t>
      </w:r>
      <w:r w:rsidR="00090EFE" w:rsidRPr="00090EFE">
        <w:rPr>
          <w:rFonts w:cstheme="minorHAnsi"/>
          <w:color w:val="000000"/>
          <w:shd w:val="clear" w:color="auto" w:fill="FFFFFF"/>
        </w:rPr>
        <w:t xml:space="preserve"> öne çıkan harcama artışları giyimde %2,13, alkollü içecekler ve tütünde %1,79 ve ulaştırmada %1,61 oranlarında gerçekleşmiştir.</w:t>
      </w:r>
      <w:r w:rsidRPr="00007E02">
        <w:rPr>
          <w:rFonts w:cstheme="minorHAnsi"/>
          <w:color w:val="000000"/>
          <w:shd w:val="clear" w:color="auto" w:fill="FFFFFF"/>
        </w:rPr>
        <w:t xml:space="preserve"> </w:t>
      </w:r>
      <w:proofErr w:type="gramStart"/>
      <w:r w:rsidR="00090EFE" w:rsidRPr="00090EFE">
        <w:rPr>
          <w:rFonts w:cstheme="minorHAnsi"/>
          <w:color w:val="000000"/>
          <w:shd w:val="clear" w:color="auto" w:fill="FFFFFF"/>
        </w:rPr>
        <w:t>Enflasyonun kontrol altına alınıp alınamayacağı konusunda esas gösterge olarak kabul edilen ve TCMB tarafından yakından izlenen çekirdek enflasyon B (işlenmemiş gıda ürünleri, enerji, alkollü içkiler ve tütün ile altın hariç TÜFE) ve C (enerji, gıda, alkollü ve alkolsüz içkiler, tütün ürünleri ve altın hariç TÜFE) endekslerindeki yıllık artış sırasıyla %17,56 ve %16,76 olmuştur.</w:t>
      </w:r>
      <w:r>
        <w:rPr>
          <w:rFonts w:cstheme="minorHAnsi"/>
          <w:color w:val="000000"/>
          <w:shd w:val="clear" w:color="auto" w:fill="FFFFFF"/>
        </w:rPr>
        <w:t xml:space="preserve"> </w:t>
      </w:r>
      <w:proofErr w:type="gramEnd"/>
      <w:r w:rsidR="002B746D" w:rsidRPr="002B746D">
        <w:rPr>
          <w:rFonts w:cstheme="minorHAnsi"/>
          <w:color w:val="000000"/>
          <w:shd w:val="clear" w:color="auto" w:fill="FFFFFF"/>
        </w:rPr>
        <w:t>Enerji fiyatlarında</w:t>
      </w:r>
      <w:r w:rsidR="002B746D">
        <w:rPr>
          <w:rFonts w:cstheme="minorHAnsi"/>
          <w:color w:val="000000"/>
          <w:shd w:val="clear" w:color="auto" w:fill="FFFFFF"/>
        </w:rPr>
        <w:t xml:space="preserve"> gözlenen artış eğiliminin,</w:t>
      </w:r>
      <w:r w:rsidR="002B746D" w:rsidRPr="002B746D">
        <w:rPr>
          <w:rFonts w:cstheme="minorHAnsi"/>
          <w:color w:val="000000"/>
          <w:shd w:val="clear" w:color="auto" w:fill="FFFFFF"/>
        </w:rPr>
        <w:t xml:space="preserve"> son yapılan elektrik fiyat ayarlamasından </w:t>
      </w:r>
      <w:r w:rsidR="002B746D">
        <w:rPr>
          <w:rFonts w:cstheme="minorHAnsi"/>
          <w:color w:val="000000"/>
          <w:shd w:val="clear" w:color="auto" w:fill="FFFFFF"/>
        </w:rPr>
        <w:t>ötürü Ekim ayında sürmesi beklenirken, gelişmenin enflasyona olumsuz etki edebileceği değerlendirilmektedir.</w:t>
      </w:r>
    </w:p>
    <w:p w:rsidR="005E54D7" w:rsidRDefault="005E54D7" w:rsidP="005E54D7">
      <w:pPr>
        <w:pStyle w:val="NormalWeb"/>
        <w:spacing w:after="0"/>
        <w:jc w:val="both"/>
        <w:rPr>
          <w:rFonts w:cstheme="minorHAnsi"/>
          <w:color w:val="000000"/>
          <w:shd w:val="clear" w:color="auto" w:fill="FFFFFF"/>
        </w:rPr>
      </w:pPr>
      <w:r>
        <w:rPr>
          <w:rFonts w:asciiTheme="minorHAnsi" w:hAnsiTheme="minorHAnsi" w:cstheme="minorHAnsi"/>
          <w:sz w:val="22"/>
          <w:szCs w:val="22"/>
        </w:rPr>
        <w:t xml:space="preserve">TCMB, Ağustos ayında açıkladığı </w:t>
      </w:r>
      <w:r w:rsidR="00AB1E7C">
        <w:rPr>
          <w:rFonts w:asciiTheme="minorHAnsi" w:hAnsiTheme="minorHAnsi" w:cstheme="minorHAnsi"/>
          <w:sz w:val="22"/>
          <w:szCs w:val="22"/>
        </w:rPr>
        <w:t xml:space="preserve">yılın </w:t>
      </w:r>
      <w:r>
        <w:rPr>
          <w:rFonts w:asciiTheme="minorHAnsi" w:hAnsiTheme="minorHAnsi" w:cstheme="minorHAnsi"/>
          <w:sz w:val="22"/>
          <w:szCs w:val="22"/>
        </w:rPr>
        <w:t xml:space="preserve">son Enflasyon Raporu’nda, yılsonu enflasyon tahminini ithalat fiyatlarında ve gıda enflasyonunda düşüş varsayımı ile 2019 için %14,6’dan %13,9’a çekmiş, 2020 için ise %8,2’lik tahminini korumuştur. Yeni </w:t>
      </w:r>
      <w:proofErr w:type="spellStart"/>
      <w:r>
        <w:rPr>
          <w:rFonts w:asciiTheme="minorHAnsi" w:hAnsiTheme="minorHAnsi" w:cstheme="minorHAnsi"/>
          <w:sz w:val="22"/>
          <w:szCs w:val="22"/>
        </w:rPr>
        <w:t>YEP’te</w:t>
      </w:r>
      <w:proofErr w:type="spellEnd"/>
      <w:r>
        <w:rPr>
          <w:rFonts w:asciiTheme="minorHAnsi" w:hAnsiTheme="minorHAnsi" w:cstheme="minorHAnsi"/>
          <w:sz w:val="22"/>
          <w:szCs w:val="22"/>
        </w:rPr>
        <w:t xml:space="preserve"> ise yılsonu enflasyon beklentisi %12 olurken, programa göre hükümetin bir süredir orta vade</w:t>
      </w:r>
      <w:r w:rsidR="00B821E3">
        <w:rPr>
          <w:rFonts w:asciiTheme="minorHAnsi" w:hAnsiTheme="minorHAnsi" w:cstheme="minorHAnsi"/>
          <w:sz w:val="22"/>
          <w:szCs w:val="22"/>
        </w:rPr>
        <w:t xml:space="preserve"> için</w:t>
      </w:r>
      <w:r>
        <w:rPr>
          <w:rFonts w:asciiTheme="minorHAnsi" w:hAnsiTheme="minorHAnsi" w:cstheme="minorHAnsi"/>
          <w:sz w:val="22"/>
          <w:szCs w:val="22"/>
        </w:rPr>
        <w:t xml:space="preserve"> ortaya koyduğu %5’ler düzeyindeki hedefe ise 2021-2022 döneminde ulaşılması beklenmektedir.</w:t>
      </w:r>
    </w:p>
    <w:p w:rsidR="0074332B" w:rsidRPr="00924407" w:rsidRDefault="0074332B" w:rsidP="0074332B">
      <w:pPr>
        <w:pStyle w:val="NormalWeb"/>
        <w:spacing w:before="0" w:beforeAutospacing="0" w:after="0" w:afterAutospacing="0"/>
        <w:jc w:val="both"/>
        <w:rPr>
          <w:rFonts w:asciiTheme="minorHAnsi" w:hAnsiTheme="minorHAnsi" w:cstheme="minorHAnsi"/>
          <w:b/>
          <w:i/>
          <w:color w:val="632423"/>
        </w:rPr>
      </w:pPr>
      <w:r w:rsidRPr="00924407">
        <w:rPr>
          <w:rFonts w:asciiTheme="minorHAnsi" w:hAnsiTheme="minorHAnsi" w:cstheme="minorHAnsi"/>
          <w:b/>
          <w:color w:val="632423"/>
        </w:rPr>
        <w:t xml:space="preserve">Para Politikası                                                                         </w:t>
      </w:r>
      <w:r>
        <w:rPr>
          <w:rFonts w:asciiTheme="minorHAnsi" w:hAnsiTheme="minorHAnsi" w:cstheme="minorHAnsi"/>
          <w:b/>
          <w:color w:val="632423"/>
        </w:rPr>
        <w:t xml:space="preserve">   </w:t>
      </w:r>
      <w:r>
        <w:rPr>
          <w:rFonts w:asciiTheme="minorHAnsi" w:hAnsiTheme="minorHAnsi" w:cstheme="minorHAnsi"/>
          <w:b/>
          <w:i/>
          <w:color w:val="632423"/>
        </w:rPr>
        <w:t>Genişleyici para politikasına dönüş</w:t>
      </w:r>
    </w:p>
    <w:p w:rsidR="0074332B" w:rsidRDefault="0074332B" w:rsidP="0074332B">
      <w:pPr>
        <w:pStyle w:val="NormalWeb"/>
        <w:spacing w:before="0" w:beforeAutospacing="0" w:after="0" w:afterAutospacing="0"/>
        <w:jc w:val="both"/>
        <w:rPr>
          <w:rFonts w:asciiTheme="minorHAnsi" w:hAnsiTheme="minorHAnsi" w:cstheme="minorHAnsi"/>
          <w:sz w:val="22"/>
          <w:szCs w:val="22"/>
        </w:rPr>
      </w:pPr>
    </w:p>
    <w:p w:rsidR="00B821E3" w:rsidRDefault="00012C7B" w:rsidP="0053670F">
      <w:pPr>
        <w:autoSpaceDE w:val="0"/>
        <w:autoSpaceDN w:val="0"/>
        <w:adjustRightInd w:val="0"/>
        <w:spacing w:after="0" w:line="240" w:lineRule="auto"/>
        <w:jc w:val="both"/>
      </w:pPr>
      <w:r>
        <w:rPr>
          <w:rFonts w:cstheme="minorHAnsi"/>
          <w:color w:val="000000" w:themeColor="text1"/>
        </w:rPr>
        <w:t>TCMB Eski B</w:t>
      </w:r>
      <w:r w:rsidRPr="00E51101">
        <w:rPr>
          <w:rFonts w:cstheme="minorHAnsi"/>
          <w:color w:val="000000" w:themeColor="text1"/>
        </w:rPr>
        <w:t>aşkan</w:t>
      </w:r>
      <w:r>
        <w:rPr>
          <w:rFonts w:cstheme="minorHAnsi"/>
          <w:color w:val="000000" w:themeColor="text1"/>
        </w:rPr>
        <w:t>ı</w:t>
      </w:r>
      <w:r w:rsidRPr="00E51101">
        <w:rPr>
          <w:rFonts w:cstheme="minorHAnsi"/>
          <w:color w:val="000000" w:themeColor="text1"/>
        </w:rPr>
        <w:t xml:space="preserve"> Murat </w:t>
      </w:r>
      <w:proofErr w:type="spellStart"/>
      <w:r w:rsidRPr="00E51101">
        <w:rPr>
          <w:rFonts w:cstheme="minorHAnsi"/>
          <w:color w:val="000000" w:themeColor="text1"/>
        </w:rPr>
        <w:t>Çetinkaya'nın</w:t>
      </w:r>
      <w:proofErr w:type="spellEnd"/>
      <w:r w:rsidRPr="00E51101">
        <w:rPr>
          <w:rFonts w:cstheme="minorHAnsi"/>
          <w:color w:val="000000" w:themeColor="text1"/>
        </w:rPr>
        <w:t xml:space="preserve"> faiz indirimleri konusunda isteksiz olmas</w:t>
      </w:r>
      <w:r>
        <w:rPr>
          <w:rFonts w:cstheme="minorHAnsi"/>
          <w:color w:val="000000" w:themeColor="text1"/>
        </w:rPr>
        <w:t>ı gerekçesi ile görevden alınması, yeni Başkan Murat Uysal döneminde</w:t>
      </w:r>
      <w:r w:rsidR="00AB1E7C">
        <w:rPr>
          <w:rFonts w:cstheme="minorHAnsi"/>
          <w:color w:val="000000" w:themeColor="text1"/>
        </w:rPr>
        <w:t>n</w:t>
      </w:r>
      <w:r>
        <w:rPr>
          <w:rFonts w:cstheme="minorHAnsi"/>
          <w:color w:val="000000" w:themeColor="text1"/>
        </w:rPr>
        <w:t xml:space="preserve"> yüklü faiz indirimi beklentisi yaratmıştır.</w:t>
      </w:r>
      <w:r w:rsidR="005E54D7">
        <w:rPr>
          <w:rFonts w:cstheme="minorHAnsi"/>
          <w:color w:val="000000" w:themeColor="text1"/>
        </w:rPr>
        <w:t xml:space="preserve"> </w:t>
      </w:r>
      <w:r w:rsidR="0038688A">
        <w:rPr>
          <w:rFonts w:cstheme="minorHAnsi"/>
          <w:color w:val="000000" w:themeColor="text1"/>
        </w:rPr>
        <w:t xml:space="preserve">Nitekim TCMB, Temmuz - Eylül döneminde toplam 750 </w:t>
      </w:r>
      <w:proofErr w:type="gramStart"/>
      <w:r w:rsidR="0038688A">
        <w:rPr>
          <w:rFonts w:cstheme="minorHAnsi"/>
          <w:color w:val="000000" w:themeColor="text1"/>
        </w:rPr>
        <w:t>baz</w:t>
      </w:r>
      <w:proofErr w:type="gramEnd"/>
      <w:r w:rsidR="0038688A">
        <w:rPr>
          <w:rFonts w:cstheme="minorHAnsi"/>
          <w:color w:val="000000" w:themeColor="text1"/>
        </w:rPr>
        <w:t xml:space="preserve"> puanlık indirimle </w:t>
      </w:r>
      <w:r w:rsidR="00B821E3" w:rsidRPr="00CE50FF">
        <w:rPr>
          <w:rFonts w:cstheme="minorHAnsi"/>
        </w:rPr>
        <w:t>haftalık repo ihale</w:t>
      </w:r>
      <w:r w:rsidR="00B821E3">
        <w:rPr>
          <w:rFonts w:cstheme="minorHAnsi"/>
        </w:rPr>
        <w:t xml:space="preserve"> faizi olan politika faiz oranını </w:t>
      </w:r>
      <w:r w:rsidR="0038688A">
        <w:t xml:space="preserve">%16,5 düzeyine çekmiştir. </w:t>
      </w:r>
    </w:p>
    <w:p w:rsidR="00B821E3" w:rsidRDefault="00B821E3" w:rsidP="0053670F">
      <w:pPr>
        <w:autoSpaceDE w:val="0"/>
        <w:autoSpaceDN w:val="0"/>
        <w:adjustRightInd w:val="0"/>
        <w:spacing w:after="0" w:line="240" w:lineRule="auto"/>
        <w:jc w:val="both"/>
      </w:pPr>
    </w:p>
    <w:p w:rsidR="0053670F" w:rsidRDefault="00007E02" w:rsidP="0053670F">
      <w:pPr>
        <w:autoSpaceDE w:val="0"/>
        <w:autoSpaceDN w:val="0"/>
        <w:adjustRightInd w:val="0"/>
        <w:spacing w:after="0" w:line="240" w:lineRule="auto"/>
        <w:jc w:val="both"/>
        <w:rPr>
          <w:rFonts w:cstheme="minorHAnsi"/>
          <w:color w:val="000000" w:themeColor="text1"/>
        </w:rPr>
      </w:pPr>
      <w:r>
        <w:rPr>
          <w:rFonts w:cstheme="minorHAnsi"/>
        </w:rPr>
        <w:t xml:space="preserve">Eylül ayı </w:t>
      </w:r>
      <w:r w:rsidRPr="00CE50FF">
        <w:rPr>
          <w:rFonts w:cstheme="minorHAnsi"/>
        </w:rPr>
        <w:t>Para Politikası Kurulu</w:t>
      </w:r>
      <w:r>
        <w:rPr>
          <w:rFonts w:cstheme="minorHAnsi"/>
        </w:rPr>
        <w:t xml:space="preserve"> (PPK) toplantısının ardından yayımlanan</w:t>
      </w:r>
      <w:r w:rsidR="00012C7B" w:rsidRPr="00CE50FF">
        <w:rPr>
          <w:rFonts w:cstheme="minorHAnsi"/>
        </w:rPr>
        <w:t xml:space="preserve"> açıklamada, enflasyondaki düşüş eğilimine dikkat çekilirken, mevcut para politikası duruşunun </w:t>
      </w:r>
      <w:proofErr w:type="spellStart"/>
      <w:r w:rsidR="00012C7B" w:rsidRPr="00CE50FF">
        <w:rPr>
          <w:rFonts w:cstheme="minorHAnsi"/>
        </w:rPr>
        <w:t>dezenflasyon</w:t>
      </w:r>
      <w:proofErr w:type="spellEnd"/>
      <w:r w:rsidR="00012C7B" w:rsidRPr="00CE50FF">
        <w:rPr>
          <w:rFonts w:cstheme="minorHAnsi"/>
        </w:rPr>
        <w:t xml:space="preserve"> patikasıy</w:t>
      </w:r>
      <w:r w:rsidR="00012C7B">
        <w:rPr>
          <w:rFonts w:cstheme="minorHAnsi"/>
        </w:rPr>
        <w:t>la büyük ölçüde uyumlu olduğu</w:t>
      </w:r>
      <w:r w:rsidR="00012C7B" w:rsidRPr="00CE50FF">
        <w:rPr>
          <w:rFonts w:cstheme="minorHAnsi"/>
        </w:rPr>
        <w:t xml:space="preserve"> ifade edilm</w:t>
      </w:r>
      <w:r w:rsidR="00012C7B">
        <w:rPr>
          <w:rFonts w:cstheme="minorHAnsi"/>
        </w:rPr>
        <w:t>iştir.</w:t>
      </w:r>
      <w:r w:rsidR="00012C7B" w:rsidRPr="00CE50FF">
        <w:rPr>
          <w:rFonts w:cstheme="minorHAnsi"/>
        </w:rPr>
        <w:t xml:space="preserve"> </w:t>
      </w:r>
      <w:proofErr w:type="spellStart"/>
      <w:r w:rsidR="0053670F" w:rsidRPr="005717E4">
        <w:rPr>
          <w:rFonts w:cstheme="minorHAnsi"/>
          <w:color w:val="000000" w:themeColor="text1"/>
        </w:rPr>
        <w:t>TCMB’nin</w:t>
      </w:r>
      <w:proofErr w:type="spellEnd"/>
      <w:r w:rsidR="0053670F" w:rsidRPr="005717E4">
        <w:rPr>
          <w:rFonts w:cstheme="minorHAnsi"/>
          <w:color w:val="000000" w:themeColor="text1"/>
        </w:rPr>
        <w:t xml:space="preserve"> kredi büyümesini teşvik etmek için TL zorunlu </w:t>
      </w:r>
      <w:r w:rsidR="0053670F" w:rsidRPr="005717E4">
        <w:rPr>
          <w:rFonts w:cstheme="minorHAnsi"/>
          <w:color w:val="000000" w:themeColor="text1"/>
        </w:rPr>
        <w:lastRenderedPageBreak/>
        <w:t xml:space="preserve">karşılıklarda Ağustos ayında aldığı indirim kararı </w:t>
      </w:r>
      <w:r w:rsidR="0053670F">
        <w:rPr>
          <w:rFonts w:cstheme="minorHAnsi"/>
          <w:color w:val="000000" w:themeColor="text1"/>
        </w:rPr>
        <w:t xml:space="preserve">da </w:t>
      </w:r>
      <w:r w:rsidR="0053670F" w:rsidRPr="005717E4">
        <w:rPr>
          <w:rFonts w:cstheme="minorHAnsi"/>
          <w:color w:val="000000" w:themeColor="text1"/>
        </w:rPr>
        <w:t>piyasa tarafından genişleyici bir para politikası adımı olarak algılanmış</w:t>
      </w:r>
      <w:r w:rsidR="0053670F">
        <w:rPr>
          <w:rFonts w:cstheme="minorHAnsi"/>
          <w:color w:val="000000" w:themeColor="text1"/>
        </w:rPr>
        <w:t xml:space="preserve">tır. </w:t>
      </w:r>
    </w:p>
    <w:p w:rsidR="00B821E3" w:rsidRDefault="00B821E3" w:rsidP="0053670F">
      <w:pPr>
        <w:autoSpaceDE w:val="0"/>
        <w:autoSpaceDN w:val="0"/>
        <w:adjustRightInd w:val="0"/>
        <w:spacing w:after="0" w:line="240" w:lineRule="auto"/>
        <w:jc w:val="both"/>
        <w:rPr>
          <w:rFonts w:cstheme="minorHAnsi"/>
          <w:color w:val="000000" w:themeColor="text1"/>
        </w:rPr>
      </w:pPr>
    </w:p>
    <w:p w:rsidR="00012C7B" w:rsidRDefault="00AB1E7C" w:rsidP="0053670F">
      <w:pPr>
        <w:autoSpaceDE w:val="0"/>
        <w:autoSpaceDN w:val="0"/>
        <w:adjustRightInd w:val="0"/>
        <w:spacing w:after="0" w:line="240" w:lineRule="auto"/>
        <w:jc w:val="both"/>
        <w:rPr>
          <w:rFonts w:cstheme="minorHAnsi"/>
        </w:rPr>
      </w:pPr>
      <w:r>
        <w:rPr>
          <w:rFonts w:cstheme="minorHAnsi"/>
        </w:rPr>
        <w:t>TCMB Başkanı Uysal,</w:t>
      </w:r>
      <w:r w:rsidRPr="000666D1">
        <w:rPr>
          <w:rFonts w:cstheme="minorHAnsi"/>
        </w:rPr>
        <w:t xml:space="preserve"> </w:t>
      </w:r>
      <w:r>
        <w:rPr>
          <w:rFonts w:cstheme="minorHAnsi"/>
        </w:rPr>
        <w:t xml:space="preserve">sanayiciler ile </w:t>
      </w:r>
      <w:r w:rsidR="00DD762F">
        <w:rPr>
          <w:rFonts w:cstheme="minorHAnsi"/>
        </w:rPr>
        <w:t xml:space="preserve">bir </w:t>
      </w:r>
      <w:r>
        <w:rPr>
          <w:rFonts w:cstheme="minorHAnsi"/>
        </w:rPr>
        <w:t>buluşmasında ise k</w:t>
      </w:r>
      <w:r w:rsidR="00B821E3" w:rsidRPr="000666D1">
        <w:rPr>
          <w:rFonts w:cstheme="minorHAnsi"/>
        </w:rPr>
        <w:t xml:space="preserve">üresel gelişmelerin de etkisiyle </w:t>
      </w:r>
      <w:r w:rsidR="00B821E3">
        <w:rPr>
          <w:rFonts w:cstheme="minorHAnsi"/>
        </w:rPr>
        <w:t xml:space="preserve">oluşan </w:t>
      </w:r>
      <w:r w:rsidR="00B821E3" w:rsidRPr="000666D1">
        <w:rPr>
          <w:rFonts w:cstheme="minorHAnsi"/>
        </w:rPr>
        <w:t xml:space="preserve">hareket alanının önemli bir bölümünü </w:t>
      </w:r>
      <w:r w:rsidR="00B821E3">
        <w:rPr>
          <w:rFonts w:cstheme="minorHAnsi"/>
        </w:rPr>
        <w:t>Temmuz ve Eylül’de “</w:t>
      </w:r>
      <w:r w:rsidR="00B821E3" w:rsidRPr="000666D1">
        <w:rPr>
          <w:rFonts w:cstheme="minorHAnsi"/>
        </w:rPr>
        <w:t>önden yüklemeli</w:t>
      </w:r>
      <w:r w:rsidR="00B821E3">
        <w:rPr>
          <w:rFonts w:cstheme="minorHAnsi"/>
        </w:rPr>
        <w:t xml:space="preserve">” </w:t>
      </w:r>
      <w:r w:rsidR="00B821E3" w:rsidRPr="000666D1">
        <w:rPr>
          <w:rFonts w:cstheme="minorHAnsi"/>
        </w:rPr>
        <w:t>şekilde kullanmayı tercih ettik</w:t>
      </w:r>
      <w:r w:rsidR="00B821E3">
        <w:rPr>
          <w:rFonts w:cstheme="minorHAnsi"/>
        </w:rPr>
        <w:t xml:space="preserve">lerini </w:t>
      </w:r>
      <w:r>
        <w:rPr>
          <w:rFonts w:cstheme="minorHAnsi"/>
        </w:rPr>
        <w:t>belirtirken</w:t>
      </w:r>
      <w:r w:rsidR="00B821E3">
        <w:rPr>
          <w:rFonts w:cstheme="minorHAnsi"/>
        </w:rPr>
        <w:t>,</w:t>
      </w:r>
      <w:r w:rsidR="00B821E3" w:rsidRPr="000666D1">
        <w:rPr>
          <w:rFonts w:cstheme="minorHAnsi"/>
        </w:rPr>
        <w:t xml:space="preserve"> parasal sıkılığın düzeyini </w:t>
      </w:r>
      <w:r w:rsidR="00B821E3">
        <w:rPr>
          <w:rFonts w:cstheme="minorHAnsi"/>
        </w:rPr>
        <w:t>e</w:t>
      </w:r>
      <w:r w:rsidR="00B821E3" w:rsidRPr="000666D1">
        <w:rPr>
          <w:rFonts w:cstheme="minorHAnsi"/>
        </w:rPr>
        <w:t xml:space="preserve">nflasyondaki düşüşün sürekliliğini sağlayacak </w:t>
      </w:r>
      <w:r w:rsidR="00B821E3">
        <w:rPr>
          <w:rFonts w:cstheme="minorHAnsi"/>
        </w:rPr>
        <w:t>biçimde</w:t>
      </w:r>
      <w:r w:rsidR="00B821E3" w:rsidRPr="000666D1">
        <w:rPr>
          <w:rFonts w:cstheme="minorHAnsi"/>
        </w:rPr>
        <w:t xml:space="preserve"> belirleyece</w:t>
      </w:r>
      <w:r>
        <w:rPr>
          <w:rFonts w:cstheme="minorHAnsi"/>
        </w:rPr>
        <w:t>klerini kaydetmiştir. Bu mesaj ile</w:t>
      </w:r>
      <w:r w:rsidR="00B821E3">
        <w:rPr>
          <w:rFonts w:cstheme="minorHAnsi"/>
        </w:rPr>
        <w:t xml:space="preserve"> </w:t>
      </w:r>
      <w:proofErr w:type="spellStart"/>
      <w:r w:rsidR="00B821E3">
        <w:rPr>
          <w:rFonts w:cstheme="minorHAnsi"/>
        </w:rPr>
        <w:t>TCMB’nin</w:t>
      </w:r>
      <w:proofErr w:type="spellEnd"/>
      <w:r w:rsidR="00B821E3">
        <w:rPr>
          <w:rFonts w:cstheme="minorHAnsi"/>
        </w:rPr>
        <w:t xml:space="preserve"> 24 Ekim tarihinde düzenlenecek PPK toplantısından</w:t>
      </w:r>
      <w:r>
        <w:rPr>
          <w:rFonts w:cstheme="minorHAnsi"/>
        </w:rPr>
        <w:t>,</w:t>
      </w:r>
      <w:r w:rsidR="00B821E3">
        <w:rPr>
          <w:rFonts w:cstheme="minorHAnsi"/>
        </w:rPr>
        <w:t xml:space="preserve"> öncekilere oranla sınırlı bir faiz indirimi kararı çıkacağı yönündeki tahminler</w:t>
      </w:r>
      <w:r>
        <w:rPr>
          <w:rFonts w:cstheme="minorHAnsi"/>
        </w:rPr>
        <w:t xml:space="preserve"> art</w:t>
      </w:r>
      <w:r w:rsidR="00B821E3">
        <w:rPr>
          <w:rFonts w:cstheme="minorHAnsi"/>
        </w:rPr>
        <w:t>mıştır.</w:t>
      </w:r>
    </w:p>
    <w:p w:rsidR="00B821E3" w:rsidRDefault="00B821E3" w:rsidP="0053670F">
      <w:pPr>
        <w:autoSpaceDE w:val="0"/>
        <w:autoSpaceDN w:val="0"/>
        <w:adjustRightInd w:val="0"/>
        <w:spacing w:after="0" w:line="240" w:lineRule="auto"/>
        <w:jc w:val="both"/>
        <w:rPr>
          <w:rFonts w:cstheme="minorHAnsi"/>
        </w:rPr>
      </w:pPr>
    </w:p>
    <w:p w:rsidR="005E54D7" w:rsidRDefault="005E54D7" w:rsidP="005E54D7">
      <w:pPr>
        <w:autoSpaceDE w:val="0"/>
        <w:autoSpaceDN w:val="0"/>
        <w:adjustRightInd w:val="0"/>
        <w:spacing w:after="0" w:line="240" w:lineRule="auto"/>
        <w:jc w:val="both"/>
        <w:rPr>
          <w:rFonts w:cstheme="minorHAnsi"/>
          <w:color w:val="000000" w:themeColor="text1"/>
        </w:rPr>
      </w:pPr>
      <w:r>
        <w:rPr>
          <w:rFonts w:cstheme="minorHAnsi"/>
          <w:color w:val="000000" w:themeColor="text1"/>
        </w:rPr>
        <w:t>Fa</w:t>
      </w:r>
      <w:r w:rsidRPr="0088647C">
        <w:rPr>
          <w:rFonts w:cstheme="minorHAnsi"/>
          <w:color w:val="000000" w:themeColor="text1"/>
        </w:rPr>
        <w:t>izin hızlı düşüşü</w:t>
      </w:r>
      <w:r w:rsidR="007663A7">
        <w:rPr>
          <w:rFonts w:cstheme="minorHAnsi"/>
          <w:color w:val="000000" w:themeColor="text1"/>
        </w:rPr>
        <w:t>,</w:t>
      </w:r>
      <w:r>
        <w:rPr>
          <w:rFonts w:cstheme="minorHAnsi"/>
          <w:color w:val="000000" w:themeColor="text1"/>
        </w:rPr>
        <w:t xml:space="preserve"> yatırımlar ve kredi koşulları açısından olumlu olsa da para politikasının etkinliğini azaltan </w:t>
      </w:r>
      <w:proofErr w:type="spellStart"/>
      <w:r w:rsidRPr="0088647C">
        <w:rPr>
          <w:rFonts w:cstheme="minorHAnsi"/>
          <w:color w:val="000000" w:themeColor="text1"/>
        </w:rPr>
        <w:t>dolarizasyonu</w:t>
      </w:r>
      <w:proofErr w:type="spellEnd"/>
      <w:r>
        <w:rPr>
          <w:rFonts w:cstheme="minorHAnsi"/>
          <w:color w:val="000000" w:themeColor="text1"/>
        </w:rPr>
        <w:t xml:space="preserve"> tetiklemektedir. Döviz kuru ve enflasyona yönelik belirsizlik ve kaygılarla Türk bankalarında yabancı para cinsinden mevduat payı artmaktadır</w:t>
      </w:r>
      <w:r w:rsidR="007663A7">
        <w:rPr>
          <w:rFonts w:cstheme="minorHAnsi"/>
          <w:color w:val="000000" w:themeColor="text1"/>
        </w:rPr>
        <w:t xml:space="preserve">. </w:t>
      </w:r>
      <w:r>
        <w:rPr>
          <w:rFonts w:cstheme="minorHAnsi"/>
          <w:color w:val="000000" w:themeColor="text1"/>
        </w:rPr>
        <w:t>2019 yılında bu oran</w:t>
      </w:r>
      <w:r w:rsidR="007663A7">
        <w:rPr>
          <w:rFonts w:cstheme="minorHAnsi"/>
          <w:color w:val="000000" w:themeColor="text1"/>
        </w:rPr>
        <w:t xml:space="preserve">ın %50’yi aştığı bilinmektedir. </w:t>
      </w:r>
      <w:proofErr w:type="spellStart"/>
      <w:r w:rsidRPr="00EA1BD9">
        <w:rPr>
          <w:rFonts w:cstheme="minorHAnsi"/>
          <w:color w:val="000000" w:themeColor="text1"/>
        </w:rPr>
        <w:t>TCMB’nin</w:t>
      </w:r>
      <w:proofErr w:type="spellEnd"/>
      <w:r w:rsidRPr="00EA1BD9">
        <w:rPr>
          <w:rFonts w:cstheme="minorHAnsi"/>
          <w:color w:val="000000" w:themeColor="text1"/>
        </w:rPr>
        <w:t xml:space="preserve"> Eylül sonu verileri</w:t>
      </w:r>
      <w:r>
        <w:rPr>
          <w:rFonts w:cstheme="minorHAnsi"/>
          <w:color w:val="000000" w:themeColor="text1"/>
        </w:rPr>
        <w:t xml:space="preserve">ne göre; </w:t>
      </w:r>
      <w:r w:rsidRPr="00EA1BD9">
        <w:rPr>
          <w:rFonts w:cstheme="minorHAnsi"/>
          <w:color w:val="000000" w:themeColor="text1"/>
        </w:rPr>
        <w:t>yurti</w:t>
      </w:r>
      <w:r>
        <w:rPr>
          <w:rFonts w:cstheme="minorHAnsi"/>
          <w:color w:val="000000" w:themeColor="text1"/>
        </w:rPr>
        <w:t>çi yerleşiklerin döviz mevduatı</w:t>
      </w:r>
      <w:r w:rsidRPr="00EA1BD9">
        <w:rPr>
          <w:rFonts w:cstheme="minorHAnsi"/>
          <w:color w:val="000000" w:themeColor="text1"/>
        </w:rPr>
        <w:t xml:space="preserve"> </w:t>
      </w:r>
      <w:r>
        <w:rPr>
          <w:rFonts w:cstheme="minorHAnsi"/>
          <w:color w:val="000000" w:themeColor="text1"/>
        </w:rPr>
        <w:t>193,7</w:t>
      </w:r>
      <w:r w:rsidRPr="00EA1BD9">
        <w:rPr>
          <w:rFonts w:cstheme="minorHAnsi"/>
          <w:color w:val="000000" w:themeColor="text1"/>
        </w:rPr>
        <w:t xml:space="preserve"> milyar ABD Doları</w:t>
      </w:r>
      <w:r>
        <w:rPr>
          <w:rFonts w:cstheme="minorHAnsi"/>
          <w:color w:val="000000" w:themeColor="text1"/>
        </w:rPr>
        <w:t>’</w:t>
      </w:r>
      <w:r w:rsidRPr="00EA1BD9">
        <w:rPr>
          <w:rFonts w:cstheme="minorHAnsi"/>
          <w:color w:val="000000" w:themeColor="text1"/>
        </w:rPr>
        <w:t xml:space="preserve">na yükselmiştir. </w:t>
      </w:r>
      <w:r>
        <w:rPr>
          <w:rFonts w:cstheme="minorHAnsi"/>
          <w:color w:val="000000" w:themeColor="text1"/>
        </w:rPr>
        <w:t>Bu çerçevede büyüme hedefinde Türkiye’nin temkinli adımlar atmasına ve öngörülebilir döviz kuruna dönük önlemlerle toplumda Dolar kuru üzerinden yatırım algısının sabırlı politikalarla azaltılmasına büyük ihtiyaç olduğu belirtilmektedir</w:t>
      </w:r>
      <w:r w:rsidRPr="0088647C">
        <w:rPr>
          <w:rFonts w:cstheme="minorHAnsi"/>
          <w:color w:val="000000" w:themeColor="text1"/>
        </w:rPr>
        <w:t>.</w:t>
      </w:r>
      <w:r w:rsidRPr="00EA1BD9">
        <w:rPr>
          <w:rFonts w:cstheme="minorHAnsi"/>
          <w:color w:val="000000" w:themeColor="text1"/>
        </w:rPr>
        <w:t xml:space="preserve"> </w:t>
      </w:r>
    </w:p>
    <w:p w:rsidR="005E54D7" w:rsidRDefault="005E54D7" w:rsidP="005E54D7">
      <w:pPr>
        <w:autoSpaceDE w:val="0"/>
        <w:autoSpaceDN w:val="0"/>
        <w:adjustRightInd w:val="0"/>
        <w:spacing w:after="0" w:line="240" w:lineRule="auto"/>
        <w:jc w:val="both"/>
        <w:rPr>
          <w:rFonts w:cstheme="minorHAnsi"/>
          <w:color w:val="000000" w:themeColor="text1"/>
        </w:rPr>
      </w:pPr>
    </w:p>
    <w:p w:rsidR="005E54D7" w:rsidRDefault="00BD4AD8" w:rsidP="005E54D7">
      <w:pPr>
        <w:autoSpaceDE w:val="0"/>
        <w:autoSpaceDN w:val="0"/>
        <w:adjustRightInd w:val="0"/>
        <w:spacing w:after="0" w:line="240" w:lineRule="auto"/>
        <w:jc w:val="both"/>
        <w:rPr>
          <w:rFonts w:cstheme="minorHAnsi"/>
          <w:color w:val="000000" w:themeColor="text1"/>
        </w:rPr>
      </w:pPr>
      <w:r>
        <w:rPr>
          <w:rFonts w:cstheme="minorHAnsi"/>
          <w:color w:val="000000" w:themeColor="text1"/>
        </w:rPr>
        <w:t xml:space="preserve">Ayrıca </w:t>
      </w:r>
      <w:r w:rsidR="005E54D7">
        <w:rPr>
          <w:rFonts w:cstheme="minorHAnsi"/>
          <w:color w:val="000000" w:themeColor="text1"/>
        </w:rPr>
        <w:t>T</w:t>
      </w:r>
      <w:r w:rsidR="005E54D7" w:rsidRPr="00477E25">
        <w:rPr>
          <w:rFonts w:cstheme="minorHAnsi"/>
          <w:color w:val="000000" w:themeColor="text1"/>
        </w:rPr>
        <w:t>ürkiye'nin</w:t>
      </w:r>
      <w:r w:rsidR="005E54D7">
        <w:rPr>
          <w:rFonts w:cstheme="minorHAnsi"/>
          <w:color w:val="000000" w:themeColor="text1"/>
        </w:rPr>
        <w:t>,</w:t>
      </w:r>
      <w:r w:rsidR="005E54D7" w:rsidRPr="00477E25">
        <w:rPr>
          <w:rFonts w:cstheme="minorHAnsi"/>
          <w:color w:val="000000" w:themeColor="text1"/>
        </w:rPr>
        <w:t xml:space="preserve"> piyasalarda </w:t>
      </w:r>
      <w:r w:rsidR="005E54D7">
        <w:rPr>
          <w:rFonts w:cstheme="minorHAnsi"/>
          <w:color w:val="000000" w:themeColor="text1"/>
        </w:rPr>
        <w:t>oluşabilecek olası</w:t>
      </w:r>
      <w:r w:rsidR="005E54D7" w:rsidRPr="00477E25">
        <w:rPr>
          <w:rFonts w:cstheme="minorHAnsi"/>
          <w:color w:val="000000" w:themeColor="text1"/>
        </w:rPr>
        <w:t xml:space="preserve"> bir krize karşı</w:t>
      </w:r>
      <w:r w:rsidR="005E54D7">
        <w:rPr>
          <w:rFonts w:cstheme="minorHAnsi"/>
          <w:color w:val="000000" w:themeColor="text1"/>
        </w:rPr>
        <w:t xml:space="preserve"> </w:t>
      </w:r>
      <w:r w:rsidR="005E54D7" w:rsidRPr="00477E25">
        <w:rPr>
          <w:rFonts w:cstheme="minorHAnsi"/>
          <w:color w:val="000000" w:themeColor="text1"/>
        </w:rPr>
        <w:t>finansal savunması</w:t>
      </w:r>
      <w:r w:rsidR="005E54D7">
        <w:rPr>
          <w:rFonts w:cstheme="minorHAnsi"/>
          <w:color w:val="000000" w:themeColor="text1"/>
        </w:rPr>
        <w:t>nı oluşturan resmi rezervlerine ilişkin tartışmalar sürm</w:t>
      </w:r>
      <w:r>
        <w:rPr>
          <w:rFonts w:cstheme="minorHAnsi"/>
          <w:color w:val="000000" w:themeColor="text1"/>
        </w:rPr>
        <w:t>üştür. Bu</w:t>
      </w:r>
      <w:r w:rsidR="005E54D7">
        <w:rPr>
          <w:rFonts w:cstheme="minorHAnsi"/>
          <w:color w:val="000000" w:themeColor="text1"/>
        </w:rPr>
        <w:t xml:space="preserve"> çerçevede</w:t>
      </w:r>
      <w:r w:rsidR="005E54D7" w:rsidRPr="00EA1BD9">
        <w:rPr>
          <w:rFonts w:cstheme="minorHAnsi"/>
          <w:color w:val="000000" w:themeColor="text1"/>
        </w:rPr>
        <w:t xml:space="preserve"> piyasadan yaklaşık 2,1 milyar ABD Doları tutarında likidite çek</w:t>
      </w:r>
      <w:r w:rsidR="005E54D7">
        <w:rPr>
          <w:rFonts w:cstheme="minorHAnsi"/>
          <w:color w:val="000000" w:themeColor="text1"/>
        </w:rPr>
        <w:t xml:space="preserve">mek amacıyla </w:t>
      </w:r>
      <w:r w:rsidR="005E54D7" w:rsidRPr="00EA1BD9">
        <w:rPr>
          <w:rFonts w:cstheme="minorHAnsi"/>
          <w:color w:val="000000" w:themeColor="text1"/>
        </w:rPr>
        <w:t>Zorunlu Karşılıklar Hakkında Tebliği'nde değişiklik yap</w:t>
      </w:r>
      <w:r w:rsidR="005E54D7">
        <w:rPr>
          <w:rFonts w:cstheme="minorHAnsi"/>
          <w:color w:val="000000" w:themeColor="text1"/>
        </w:rPr>
        <w:t xml:space="preserve">an TCMB, </w:t>
      </w:r>
      <w:r w:rsidR="005E54D7" w:rsidRPr="00EA1BD9">
        <w:rPr>
          <w:rFonts w:cstheme="minorHAnsi"/>
          <w:color w:val="000000" w:themeColor="text1"/>
        </w:rPr>
        <w:t>yabancı para mevduat/katılım fonlarına uygula</w:t>
      </w:r>
      <w:r w:rsidR="005E54D7">
        <w:rPr>
          <w:rFonts w:cstheme="minorHAnsi"/>
          <w:color w:val="000000" w:themeColor="text1"/>
        </w:rPr>
        <w:t>nan zorunlu karşılık oranlarını</w:t>
      </w:r>
      <w:r w:rsidR="005E54D7" w:rsidRPr="00EA1BD9">
        <w:rPr>
          <w:rFonts w:cstheme="minorHAnsi"/>
          <w:color w:val="000000" w:themeColor="text1"/>
        </w:rPr>
        <w:t xml:space="preserve"> tüm vade dilimlerinde 100 </w:t>
      </w:r>
      <w:proofErr w:type="gramStart"/>
      <w:r w:rsidR="005E54D7" w:rsidRPr="00EA1BD9">
        <w:rPr>
          <w:rFonts w:cstheme="minorHAnsi"/>
          <w:color w:val="000000" w:themeColor="text1"/>
        </w:rPr>
        <w:t>baz</w:t>
      </w:r>
      <w:proofErr w:type="gramEnd"/>
      <w:r w:rsidR="005E54D7" w:rsidRPr="00EA1BD9">
        <w:rPr>
          <w:rFonts w:cstheme="minorHAnsi"/>
          <w:color w:val="000000" w:themeColor="text1"/>
        </w:rPr>
        <w:t xml:space="preserve"> puan artırmıştır</w:t>
      </w:r>
      <w:r w:rsidR="005E54D7">
        <w:rPr>
          <w:rFonts w:cstheme="minorHAnsi"/>
          <w:color w:val="000000" w:themeColor="text1"/>
        </w:rPr>
        <w:t xml:space="preserve">. Eylül ayının sonu itibariyle </w:t>
      </w:r>
      <w:proofErr w:type="spellStart"/>
      <w:r w:rsidR="005E54D7">
        <w:rPr>
          <w:rFonts w:cstheme="minorHAnsi"/>
          <w:color w:val="000000" w:themeColor="text1"/>
        </w:rPr>
        <w:t>TCMB’nin</w:t>
      </w:r>
      <w:proofErr w:type="spellEnd"/>
      <w:r w:rsidR="005E54D7">
        <w:rPr>
          <w:rFonts w:cstheme="minorHAnsi"/>
          <w:color w:val="000000" w:themeColor="text1"/>
        </w:rPr>
        <w:t xml:space="preserve"> toplam rezervlerinin 101,7 milyar ABD Doları seviyesinde olduğu açıklanmıştır. Brüt döviz rezervleri 75,6 milyar ABD Doları olan Banka’nın </w:t>
      </w:r>
      <w:proofErr w:type="gramStart"/>
      <w:r w:rsidR="005E54D7">
        <w:rPr>
          <w:rFonts w:cstheme="minorHAnsi"/>
          <w:color w:val="000000" w:themeColor="text1"/>
        </w:rPr>
        <w:t>swap</w:t>
      </w:r>
      <w:proofErr w:type="gramEnd"/>
      <w:r w:rsidR="005E54D7">
        <w:rPr>
          <w:rFonts w:cstheme="minorHAnsi"/>
          <w:color w:val="000000" w:themeColor="text1"/>
        </w:rPr>
        <w:t xml:space="preserve"> piyasası işlemlerinden kaynaklı açık pozisyonların rezervlerde sıkıntı yarattığı dile getirilmektedir. </w:t>
      </w:r>
    </w:p>
    <w:p w:rsidR="00402F30" w:rsidRDefault="00402F30" w:rsidP="005E54D7">
      <w:pPr>
        <w:autoSpaceDE w:val="0"/>
        <w:autoSpaceDN w:val="0"/>
        <w:adjustRightInd w:val="0"/>
        <w:spacing w:after="0" w:line="240" w:lineRule="auto"/>
        <w:jc w:val="both"/>
        <w:rPr>
          <w:rFonts w:cstheme="minorHAnsi"/>
          <w:color w:val="000000" w:themeColor="text1"/>
        </w:rPr>
      </w:pPr>
    </w:p>
    <w:p w:rsidR="0074332B" w:rsidRDefault="007B1320" w:rsidP="0074332B">
      <w:pPr>
        <w:spacing w:after="0" w:line="240" w:lineRule="auto"/>
        <w:jc w:val="both"/>
        <w:rPr>
          <w:rFonts w:eastAsia="Times New Roman" w:cs="Calibri"/>
          <w:b/>
          <w:i/>
          <w:color w:val="632423"/>
          <w:sz w:val="24"/>
          <w:szCs w:val="24"/>
        </w:rPr>
      </w:pPr>
      <w:r>
        <w:rPr>
          <w:rFonts w:eastAsia="Times New Roman" w:cs="Calibri"/>
          <w:b/>
          <w:color w:val="632423"/>
          <w:sz w:val="24"/>
          <w:szCs w:val="24"/>
        </w:rPr>
        <w:t>Dış Ticaret</w:t>
      </w:r>
      <w:r>
        <w:rPr>
          <w:rFonts w:eastAsia="Times New Roman" w:cs="Calibri"/>
          <w:b/>
          <w:color w:val="632423"/>
          <w:sz w:val="24"/>
          <w:szCs w:val="24"/>
        </w:rPr>
        <w:tab/>
      </w:r>
      <w:r>
        <w:rPr>
          <w:rFonts w:eastAsia="Times New Roman" w:cs="Calibri"/>
          <w:b/>
          <w:color w:val="632423"/>
          <w:sz w:val="24"/>
          <w:szCs w:val="24"/>
        </w:rPr>
        <w:tab/>
      </w:r>
      <w:r>
        <w:rPr>
          <w:rFonts w:eastAsia="Times New Roman" w:cs="Calibri"/>
          <w:b/>
          <w:color w:val="632423"/>
          <w:sz w:val="24"/>
          <w:szCs w:val="24"/>
        </w:rPr>
        <w:tab/>
      </w:r>
      <w:r w:rsidR="0074332B" w:rsidRPr="00924407">
        <w:rPr>
          <w:rFonts w:eastAsia="Times New Roman" w:cs="Calibri"/>
          <w:b/>
          <w:color w:val="632423"/>
          <w:sz w:val="24"/>
          <w:szCs w:val="24"/>
        </w:rPr>
        <w:t xml:space="preserve">        </w:t>
      </w:r>
      <w:r>
        <w:rPr>
          <w:rFonts w:eastAsia="Times New Roman" w:cs="Calibri"/>
          <w:b/>
          <w:color w:val="632423"/>
          <w:sz w:val="24"/>
          <w:szCs w:val="24"/>
        </w:rPr>
        <w:t xml:space="preserve">                        </w:t>
      </w:r>
      <w:r w:rsidR="0074332B">
        <w:rPr>
          <w:rFonts w:eastAsia="Times New Roman" w:cs="Calibri"/>
          <w:b/>
          <w:color w:val="632423"/>
          <w:sz w:val="24"/>
          <w:szCs w:val="24"/>
        </w:rPr>
        <w:t xml:space="preserve"> </w:t>
      </w:r>
      <w:r>
        <w:rPr>
          <w:rFonts w:eastAsia="Times New Roman" w:cs="Calibri"/>
          <w:b/>
          <w:color w:val="632423"/>
          <w:sz w:val="24"/>
          <w:szCs w:val="24"/>
        </w:rPr>
        <w:t xml:space="preserve"> </w:t>
      </w:r>
      <w:r w:rsidR="006B1F74">
        <w:rPr>
          <w:rFonts w:eastAsia="Times New Roman" w:cs="Calibri"/>
          <w:b/>
          <w:color w:val="632423"/>
          <w:sz w:val="24"/>
          <w:szCs w:val="24"/>
        </w:rPr>
        <w:t xml:space="preserve">  </w:t>
      </w:r>
      <w:r w:rsidR="00B1470D">
        <w:rPr>
          <w:rFonts w:eastAsia="Times New Roman" w:cs="Calibri"/>
          <w:b/>
          <w:color w:val="632423"/>
          <w:sz w:val="24"/>
          <w:szCs w:val="24"/>
        </w:rPr>
        <w:t xml:space="preserve">   </w:t>
      </w:r>
      <w:r w:rsidR="006B1F74">
        <w:rPr>
          <w:rFonts w:eastAsia="Times New Roman" w:cs="Calibri"/>
          <w:b/>
          <w:color w:val="632423"/>
          <w:sz w:val="24"/>
          <w:szCs w:val="24"/>
        </w:rPr>
        <w:t xml:space="preserve">          </w:t>
      </w:r>
      <w:r w:rsidRPr="007B1320">
        <w:rPr>
          <w:rFonts w:eastAsia="Times New Roman" w:cs="Calibri"/>
          <w:b/>
          <w:i/>
          <w:color w:val="632423"/>
          <w:sz w:val="24"/>
          <w:szCs w:val="24"/>
        </w:rPr>
        <w:t>ABD i</w:t>
      </w:r>
      <w:r>
        <w:rPr>
          <w:rFonts w:eastAsia="Times New Roman" w:cs="Calibri"/>
          <w:b/>
          <w:i/>
          <w:color w:val="632423"/>
          <w:sz w:val="24"/>
          <w:szCs w:val="24"/>
        </w:rPr>
        <w:t xml:space="preserve">le </w:t>
      </w:r>
      <w:r w:rsidR="006B1F74">
        <w:rPr>
          <w:rFonts w:eastAsia="Times New Roman" w:cs="Calibri"/>
          <w:b/>
          <w:i/>
          <w:color w:val="632423"/>
          <w:sz w:val="24"/>
          <w:szCs w:val="24"/>
        </w:rPr>
        <w:t>ticaret müzakereleri başladı</w:t>
      </w:r>
    </w:p>
    <w:p w:rsidR="00365D89" w:rsidRPr="00924407" w:rsidRDefault="00365D89" w:rsidP="0074332B">
      <w:pPr>
        <w:spacing w:after="0" w:line="240" w:lineRule="auto"/>
        <w:jc w:val="both"/>
        <w:rPr>
          <w:rFonts w:eastAsia="Times New Roman" w:cs="Calibri"/>
          <w:b/>
          <w:i/>
          <w:color w:val="632423"/>
          <w:sz w:val="24"/>
          <w:szCs w:val="24"/>
        </w:rPr>
      </w:pPr>
    </w:p>
    <w:p w:rsidR="00365D89" w:rsidRDefault="009F791E" w:rsidP="00365D89">
      <w:pPr>
        <w:autoSpaceDE w:val="0"/>
        <w:autoSpaceDN w:val="0"/>
        <w:adjustRightInd w:val="0"/>
        <w:spacing w:after="0" w:line="240" w:lineRule="auto"/>
        <w:jc w:val="both"/>
        <w:rPr>
          <w:rFonts w:cstheme="minorHAnsi"/>
        </w:rPr>
      </w:pPr>
      <w:r>
        <w:rPr>
          <w:rFonts w:cstheme="minorHAnsi"/>
        </w:rPr>
        <w:t xml:space="preserve">TÜİK ve Ticaret Bakanlığı işbirliğiyle oluşturulan geçici dış ticaret verilerine göre; ihracat, 2019 yılı Ağustos ayında 2018 yılının aynı dönemine göre %1,6 oranında artarak 12,5 milyar ABD Doları, ithalat ise %1,5 oranında artarak 15 milyar ABD Doları olmuştur. </w:t>
      </w:r>
    </w:p>
    <w:p w:rsidR="00365D89" w:rsidRDefault="00365D89" w:rsidP="00365D89">
      <w:pPr>
        <w:autoSpaceDE w:val="0"/>
        <w:autoSpaceDN w:val="0"/>
        <w:adjustRightInd w:val="0"/>
        <w:spacing w:after="0" w:line="240" w:lineRule="auto"/>
        <w:jc w:val="both"/>
        <w:rPr>
          <w:rFonts w:cstheme="minorHAnsi"/>
        </w:rPr>
      </w:pPr>
    </w:p>
    <w:p w:rsidR="00BD4AD8" w:rsidRDefault="00B821E3" w:rsidP="00457297">
      <w:pPr>
        <w:autoSpaceDE w:val="0"/>
        <w:autoSpaceDN w:val="0"/>
        <w:adjustRightInd w:val="0"/>
        <w:spacing w:after="0" w:line="240" w:lineRule="auto"/>
        <w:jc w:val="both"/>
      </w:pPr>
      <w:r>
        <w:t>Türkiye İhracatçılar Meclisi’nin (</w:t>
      </w:r>
      <w:r w:rsidR="00457297">
        <w:t>TİM</w:t>
      </w:r>
      <w:r>
        <w:t xml:space="preserve">) </w:t>
      </w:r>
      <w:r w:rsidR="00457297">
        <w:t>Eylül ayı verileri doğrultusunda ise</w:t>
      </w:r>
      <w:r w:rsidR="00BD4AD8">
        <w:t xml:space="preserve"> söz konusu ayda</w:t>
      </w:r>
      <w:r w:rsidR="00457297">
        <w:t xml:space="preserve"> ihracat 15,2 milyar ABD Doları ve </w:t>
      </w:r>
      <w:r w:rsidR="00457297" w:rsidRPr="007A1FF2">
        <w:t>ithalat</w:t>
      </w:r>
      <w:r w:rsidR="00457297">
        <w:t xml:space="preserve"> da</w:t>
      </w:r>
      <w:r w:rsidR="00457297" w:rsidRPr="007A1FF2">
        <w:t xml:space="preserve"> 17 milyar ABD Doları olarak gerçekleşmiş</w:t>
      </w:r>
      <w:r w:rsidR="00457297">
        <w:t xml:space="preserve">, </w:t>
      </w:r>
      <w:r w:rsidR="00457297" w:rsidRPr="007A1FF2">
        <w:t xml:space="preserve">dış ticaret açığı </w:t>
      </w:r>
      <w:r w:rsidR="00457297" w:rsidRPr="00472D18">
        <w:t>%5,77 oranında artarak 2 milyar ABD Doları olmuş</w:t>
      </w:r>
      <w:r w:rsidR="00457297">
        <w:t>tur. İthalatta son aylarda yeniden gözlenen artış dikkat çek</w:t>
      </w:r>
      <w:r w:rsidR="00BD4AD8">
        <w:t>icidi</w:t>
      </w:r>
      <w:r w:rsidR="00457297">
        <w:t>r. G</w:t>
      </w:r>
      <w:r w:rsidR="00457297" w:rsidRPr="00472D18">
        <w:t>eçen yıl</w:t>
      </w:r>
      <w:r w:rsidR="00457297">
        <w:t>ın aynı döneminde</w:t>
      </w:r>
      <w:r w:rsidR="00457297" w:rsidRPr="00472D18">
        <w:t xml:space="preserve"> %88,2 olan ihracatın ithalatı karşılama oranı</w:t>
      </w:r>
      <w:r w:rsidR="00457297">
        <w:t xml:space="preserve">nın, %87,6’ya indiği açıklanmıştır. </w:t>
      </w:r>
    </w:p>
    <w:p w:rsidR="00BD4AD8" w:rsidRDefault="00BD4AD8" w:rsidP="00457297">
      <w:pPr>
        <w:autoSpaceDE w:val="0"/>
        <w:autoSpaceDN w:val="0"/>
        <w:adjustRightInd w:val="0"/>
        <w:spacing w:after="0" w:line="240" w:lineRule="auto"/>
        <w:jc w:val="both"/>
      </w:pPr>
    </w:p>
    <w:p w:rsidR="00457297" w:rsidRDefault="00457297" w:rsidP="00457297">
      <w:pPr>
        <w:autoSpaceDE w:val="0"/>
        <w:autoSpaceDN w:val="0"/>
        <w:adjustRightInd w:val="0"/>
        <w:spacing w:after="0" w:line="240" w:lineRule="auto"/>
        <w:jc w:val="both"/>
      </w:pPr>
      <w:r>
        <w:t>Türkiye’nin en büyük pazarı</w:t>
      </w:r>
      <w:r w:rsidRPr="007A1FF2">
        <w:t xml:space="preserve"> olan Avrupa Birliği’nin</w:t>
      </w:r>
      <w:r>
        <w:t xml:space="preserve"> bu dönemde</w:t>
      </w:r>
      <w:r w:rsidRPr="007A1FF2">
        <w:t xml:space="preserve"> ihraca</w:t>
      </w:r>
      <w:r>
        <w:t>ttaki payı %4</w:t>
      </w:r>
      <w:r w:rsidRPr="007A1FF2">
        <w:t>9,4 ol</w:t>
      </w:r>
      <w:r>
        <w:t>muş</w:t>
      </w:r>
      <w:r w:rsidR="00BD4AD8">
        <w:t>tur. B</w:t>
      </w:r>
      <w:r>
        <w:t xml:space="preserve">ölgede ilk sırayı alan Almanya'ya </w:t>
      </w:r>
      <w:r w:rsidR="00BD4AD8">
        <w:t>yapılan ihracat ise önceki yıllara göre gerilemektedir. Bu pazara 2018 yılı Ağustos ayında önceki yılın aynı dönemine kıyasla %9 artan ihracat, bu yıl %4,3 azalmıştır. En çok ithalat ise</w:t>
      </w:r>
      <w:r>
        <w:t xml:space="preserve"> </w:t>
      </w:r>
      <w:r w:rsidR="00AC67B5">
        <w:t>2</w:t>
      </w:r>
      <w:r>
        <w:t xml:space="preserve"> milyar ABD Doları tutarı ile R</w:t>
      </w:r>
      <w:r w:rsidRPr="007A1FF2">
        <w:t xml:space="preserve">usya'dan </w:t>
      </w:r>
      <w:r>
        <w:t>gerçekleştirilmiştir.</w:t>
      </w:r>
    </w:p>
    <w:p w:rsidR="00365D89" w:rsidRDefault="00365D89" w:rsidP="0074332B">
      <w:pPr>
        <w:autoSpaceDE w:val="0"/>
        <w:autoSpaceDN w:val="0"/>
        <w:adjustRightInd w:val="0"/>
        <w:spacing w:after="0" w:line="240" w:lineRule="auto"/>
        <w:jc w:val="both"/>
      </w:pPr>
    </w:p>
    <w:p w:rsidR="0074332B" w:rsidRDefault="0074332B" w:rsidP="0074332B">
      <w:pPr>
        <w:autoSpaceDE w:val="0"/>
        <w:autoSpaceDN w:val="0"/>
        <w:adjustRightInd w:val="0"/>
        <w:spacing w:after="0" w:line="240" w:lineRule="auto"/>
        <w:jc w:val="both"/>
      </w:pPr>
      <w:r>
        <w:t xml:space="preserve">Türkiye ile ABD arasında ortalama 20 milyar ABD Doları seviyesindeki ticaret hacmini 100 milyar ABD Doları’na çıkarmak için </w:t>
      </w:r>
      <w:r w:rsidR="003C02EB">
        <w:t>iki ülke arasında karş</w:t>
      </w:r>
      <w:r w:rsidR="007B1320">
        <w:t>ı</w:t>
      </w:r>
      <w:r w:rsidR="003C02EB">
        <w:t xml:space="preserve">lıklı olarak </w:t>
      </w:r>
      <w:r>
        <w:t xml:space="preserve">siyasi irade ortaya konmuştur. Uzmanlarca ihracatın ithalatı karşılama oranı açısından son 10 yıldır Türkiye lehine olan durumun gözetilmesi ve Türkiye tarafından orta ile uzun vadede yüksek teknolojili, </w:t>
      </w:r>
      <w:proofErr w:type="spellStart"/>
      <w:r>
        <w:t>inovatif</w:t>
      </w:r>
      <w:proofErr w:type="spellEnd"/>
      <w:r>
        <w:t xml:space="preserve"> ve katma değerli ürünlerin ihracatına öncelik verilmesi gerekliliği vurgulanmaktadır.</w:t>
      </w:r>
    </w:p>
    <w:p w:rsidR="003C78B4" w:rsidRDefault="003C78B4" w:rsidP="0074332B">
      <w:pPr>
        <w:autoSpaceDE w:val="0"/>
        <w:autoSpaceDN w:val="0"/>
        <w:adjustRightInd w:val="0"/>
        <w:spacing w:after="0" w:line="240" w:lineRule="auto"/>
        <w:jc w:val="both"/>
      </w:pPr>
    </w:p>
    <w:p w:rsidR="003C78B4" w:rsidRPr="003C78B4" w:rsidRDefault="0043588F" w:rsidP="003C78B4">
      <w:pPr>
        <w:autoSpaceDE w:val="0"/>
        <w:autoSpaceDN w:val="0"/>
        <w:adjustRightInd w:val="0"/>
        <w:spacing w:after="0" w:line="240" w:lineRule="auto"/>
        <w:jc w:val="both"/>
      </w:pPr>
      <w:r w:rsidRPr="0043588F">
        <w:t xml:space="preserve">Geçtiğimiz günlerde “Türkiye’nin 2023 Sanayi ve Teknoloji Stratejisi”ni açıklayan Sanayi ve Teknoloji Bakanı Mustafa </w:t>
      </w:r>
      <w:proofErr w:type="spellStart"/>
      <w:r w:rsidRPr="0043588F">
        <w:t>Varank</w:t>
      </w:r>
      <w:proofErr w:type="spellEnd"/>
      <w:r w:rsidRPr="0043588F">
        <w:t xml:space="preserve">, ihracatta yüksek teknolojili ürün payının %3,2 düzeyinden %5,8’e </w:t>
      </w:r>
      <w:r w:rsidRPr="0043588F">
        <w:lastRenderedPageBreak/>
        <w:t xml:space="preserve">çıkarılmasının hedeflendiğini açıklamıştır. </w:t>
      </w:r>
      <w:r w:rsidR="00AC67B5">
        <w:t>Buna karşın,</w:t>
      </w:r>
      <w:r w:rsidRPr="0043588F">
        <w:t xml:space="preserve"> Ağustos ayı TÜİK Dış Ticaret İstatistikleri’ne göre; Türkiye’nin dış ticaretinden yüksek teknoloji ürünleri ithalatının aldığı pay %14,3’e ulaşmıştır. Rekabetçi bir dış ticaret politikası için bir an önce Türkiye’nin yüksek teknoloji ihracatının %7 - 10 seviyelerine çıkarılmasını hedefleyecek uygulamaların başlatılmasına duyulan ihtiyaç dile getirilmektedir. Önümüzdeki dönem</w:t>
      </w:r>
      <w:r w:rsidR="00053E4B">
        <w:t>e yönelik olarak,</w:t>
      </w:r>
      <w:r w:rsidRPr="0043588F">
        <w:t xml:space="preserve"> Türkiye’nin ihracatta rekabetçi kur başta olmak üzere pazar ve ürün çeşitlendirmesi ihtiyacı da belirginleşmektedir. </w:t>
      </w:r>
    </w:p>
    <w:p w:rsidR="003C78B4" w:rsidRDefault="003C78B4" w:rsidP="0074332B">
      <w:pPr>
        <w:autoSpaceDE w:val="0"/>
        <w:autoSpaceDN w:val="0"/>
        <w:adjustRightInd w:val="0"/>
        <w:spacing w:after="0" w:line="240" w:lineRule="auto"/>
        <w:jc w:val="both"/>
      </w:pPr>
    </w:p>
    <w:p w:rsidR="0074332B" w:rsidRPr="00924407" w:rsidRDefault="0074332B" w:rsidP="0074332B">
      <w:pPr>
        <w:spacing w:after="0" w:line="240" w:lineRule="auto"/>
        <w:jc w:val="both"/>
        <w:rPr>
          <w:rFonts w:eastAsia="Times New Roman" w:cs="Calibri"/>
          <w:b/>
          <w:i/>
          <w:color w:val="632423"/>
          <w:sz w:val="24"/>
          <w:szCs w:val="24"/>
        </w:rPr>
      </w:pPr>
      <w:r w:rsidRPr="00924407">
        <w:rPr>
          <w:rFonts w:eastAsia="Times New Roman" w:cs="Calibri"/>
          <w:b/>
          <w:color w:val="632423"/>
          <w:sz w:val="24"/>
          <w:szCs w:val="24"/>
        </w:rPr>
        <w:t>Ödemeler Dengesi</w:t>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sidRPr="00A84DF0">
        <w:rPr>
          <w:rFonts w:eastAsia="Times New Roman" w:cs="Calibri"/>
          <w:b/>
          <w:i/>
          <w:color w:val="632423"/>
          <w:sz w:val="24"/>
          <w:szCs w:val="24"/>
        </w:rPr>
        <w:t xml:space="preserve">    </w:t>
      </w:r>
      <w:r w:rsidR="00A84DF0">
        <w:rPr>
          <w:rFonts w:eastAsia="Times New Roman" w:cs="Calibri"/>
          <w:b/>
          <w:i/>
          <w:color w:val="632423"/>
          <w:sz w:val="24"/>
          <w:szCs w:val="24"/>
        </w:rPr>
        <w:t xml:space="preserve">   </w:t>
      </w:r>
      <w:r w:rsidR="00B1470D">
        <w:rPr>
          <w:rFonts w:eastAsia="Times New Roman" w:cs="Calibri"/>
          <w:b/>
          <w:i/>
          <w:color w:val="632423"/>
          <w:sz w:val="24"/>
          <w:szCs w:val="24"/>
        </w:rPr>
        <w:t xml:space="preserve"> </w:t>
      </w:r>
      <w:r w:rsidRPr="00A84DF0">
        <w:rPr>
          <w:rFonts w:eastAsia="Times New Roman" w:cs="Calibri"/>
          <w:b/>
          <w:i/>
          <w:color w:val="632423"/>
          <w:sz w:val="24"/>
          <w:szCs w:val="24"/>
        </w:rPr>
        <w:t xml:space="preserve">                      </w:t>
      </w:r>
      <w:r w:rsidR="00A84DF0" w:rsidRPr="00A84DF0">
        <w:rPr>
          <w:rFonts w:eastAsia="Times New Roman" w:cs="Calibri"/>
          <w:b/>
          <w:i/>
          <w:color w:val="632423"/>
          <w:sz w:val="24"/>
          <w:szCs w:val="24"/>
        </w:rPr>
        <w:t>Ekonomide</w:t>
      </w:r>
      <w:r>
        <w:rPr>
          <w:rFonts w:eastAsia="Times New Roman" w:cs="Calibri"/>
          <w:b/>
          <w:color w:val="632423"/>
          <w:sz w:val="24"/>
          <w:szCs w:val="24"/>
        </w:rPr>
        <w:t xml:space="preserve">  </w:t>
      </w:r>
      <w:r w:rsidR="00A84DF0">
        <w:rPr>
          <w:rFonts w:eastAsia="Times New Roman" w:cs="Calibri"/>
          <w:b/>
          <w:i/>
          <w:color w:val="632423"/>
          <w:sz w:val="24"/>
          <w:szCs w:val="24"/>
        </w:rPr>
        <w:t>“c</w:t>
      </w:r>
      <w:r>
        <w:rPr>
          <w:rFonts w:eastAsia="Times New Roman" w:cs="Calibri"/>
          <w:b/>
          <w:i/>
          <w:color w:val="632423"/>
          <w:sz w:val="24"/>
          <w:szCs w:val="24"/>
        </w:rPr>
        <w:t>ari fazla” dönemi</w:t>
      </w:r>
      <w:r>
        <w:rPr>
          <w:rFonts w:eastAsia="Times New Roman" w:cs="Calibri"/>
          <w:b/>
          <w:color w:val="632423"/>
          <w:sz w:val="24"/>
          <w:szCs w:val="24"/>
        </w:rPr>
        <w:t xml:space="preserve">  </w:t>
      </w:r>
    </w:p>
    <w:p w:rsidR="0074332B" w:rsidRDefault="0074332B" w:rsidP="0074332B">
      <w:pPr>
        <w:spacing w:after="0" w:line="240" w:lineRule="auto"/>
        <w:jc w:val="both"/>
        <w:rPr>
          <w:rFonts w:cstheme="minorHAnsi"/>
        </w:rPr>
      </w:pPr>
    </w:p>
    <w:p w:rsidR="0074332B" w:rsidRDefault="0074332B" w:rsidP="0074332B">
      <w:pPr>
        <w:spacing w:after="0" w:line="240" w:lineRule="auto"/>
        <w:jc w:val="both"/>
      </w:pPr>
      <w:proofErr w:type="spellStart"/>
      <w:r w:rsidRPr="00CE50FF">
        <w:rPr>
          <w:rFonts w:cstheme="minorHAnsi"/>
        </w:rPr>
        <w:t>TCMB’nin</w:t>
      </w:r>
      <w:proofErr w:type="spellEnd"/>
      <w:r w:rsidRPr="00CE50FF">
        <w:rPr>
          <w:rFonts w:cstheme="minorHAnsi"/>
        </w:rPr>
        <w:t xml:space="preserve"> ödemeler dengesi verilerine göre;</w:t>
      </w:r>
      <w:r w:rsidRPr="00CE50FF">
        <w:t xml:space="preserve"> geçtiğimiz yılın Temmuz ayında 2,2 milyar ABD Doları açık veren cari işlemler dengesi </w:t>
      </w:r>
      <w:r w:rsidR="006B1F74">
        <w:t>Temmuz 2019’da</w:t>
      </w:r>
      <w:r w:rsidRPr="00CE50FF">
        <w:t xml:space="preserve"> 1,2 milyar ABD Doları fazla vermiştir. </w:t>
      </w:r>
      <w:r>
        <w:t>Bu gelişmede e</w:t>
      </w:r>
      <w:r w:rsidRPr="00CE50FF">
        <w:t>konomik aktivitedeki yavaşlaman</w:t>
      </w:r>
      <w:r>
        <w:t>ı</w:t>
      </w:r>
      <w:r w:rsidR="00AC67B5">
        <w:t xml:space="preserve">n cari denge üzerindeki etkisi </w:t>
      </w:r>
      <w:r>
        <w:t xml:space="preserve">ve turizm gelirlerindeki artış belirleyici olmuştur. </w:t>
      </w:r>
      <w:r w:rsidRPr="009B774F">
        <w:t xml:space="preserve">2018 yılı ortasından bu yana iyileşme eğiliminde olan 12 aylık </w:t>
      </w:r>
      <w:proofErr w:type="gramStart"/>
      <w:r w:rsidRPr="009B774F">
        <w:t>kümülatif</w:t>
      </w:r>
      <w:proofErr w:type="gramEnd"/>
      <w:r w:rsidRPr="009B774F">
        <w:t xml:space="preserve"> cari denge, 4,4 milyar ABD Doları fazla vererek Ocak 2002’den bu yana en yüksek seviyesinde gerçekleşmiştir.</w:t>
      </w:r>
      <w:r>
        <w:t xml:space="preserve"> </w:t>
      </w:r>
      <w:r w:rsidR="001879B9">
        <w:t>Ancak Türkiye’nin ekonomik büyümesinde ithalatın büyük önem taşıması nedeniyle bu dönemde yaşanan durgunluğa bakarak söz konusu iyileşmeyi kalıcı olarak görmemek gerekmektedir.</w:t>
      </w:r>
    </w:p>
    <w:p w:rsidR="0074332B" w:rsidRDefault="0074332B" w:rsidP="0074332B">
      <w:pPr>
        <w:spacing w:after="0" w:line="240" w:lineRule="auto"/>
        <w:jc w:val="both"/>
      </w:pPr>
    </w:p>
    <w:p w:rsidR="0074332B" w:rsidRDefault="0074332B" w:rsidP="0074332B">
      <w:pPr>
        <w:spacing w:after="0" w:line="240" w:lineRule="auto"/>
        <w:jc w:val="both"/>
      </w:pPr>
      <w:r>
        <w:rPr>
          <w:rFonts w:cstheme="minorHAnsi"/>
        </w:rPr>
        <w:t xml:space="preserve">Cari açığın finansmanında en önemli kalem olan doğrudan yabancı yatırımların Temmuz ayında zayıf görünümü sürmüş, </w:t>
      </w:r>
      <w:r>
        <w:t>net sermaye girişi bir önceki yılın aynı ayına göre %9,1 oranında azalarak 657 milyon ABD Doları olmuştur. P</w:t>
      </w:r>
      <w:r>
        <w:rPr>
          <w:rFonts w:cstheme="minorHAnsi"/>
        </w:rPr>
        <w:t>ortföy yatırımları</w:t>
      </w:r>
      <w:r w:rsidRPr="009B774F">
        <w:t xml:space="preserve"> </w:t>
      </w:r>
      <w:r>
        <w:t xml:space="preserve">da bu dönemde ödemeler dengesine sınırlı ölçüde katkı vermiş, yurtdışı yerleşiklerin hisse senedi ve borçlanma senetleri piyasalarında sırasıyla 88 milyon ABD Doları ve 1,2 milyar ABD Doları alış yaptığı görülmüştür. </w:t>
      </w:r>
      <w:r w:rsidR="00FA76CE">
        <w:t>Yılın ilk yarısında</w:t>
      </w:r>
      <w:r>
        <w:t xml:space="preserve"> ülkeye 4,6 milyar ABD Doları tutarında doğrudan yatırım girişi olurken</w:t>
      </w:r>
      <w:r w:rsidR="006B1F74">
        <w:t>,</w:t>
      </w:r>
      <w:r>
        <w:t xml:space="preserve"> b</w:t>
      </w:r>
      <w:r w:rsidR="006B1F74">
        <w:t>u tutarı</w:t>
      </w:r>
      <w:r>
        <w:t>n 2,2 milyarlık kısmının net gayrimenkul satışından kaynaklı olması dikkat çekmiştir.</w:t>
      </w:r>
    </w:p>
    <w:p w:rsidR="0074332B" w:rsidRDefault="0074332B" w:rsidP="0074332B">
      <w:pPr>
        <w:spacing w:after="0" w:line="240" w:lineRule="auto"/>
        <w:jc w:val="both"/>
        <w:rPr>
          <w:rFonts w:cstheme="minorHAnsi"/>
        </w:rPr>
      </w:pPr>
    </w:p>
    <w:p w:rsidR="0074332B" w:rsidRPr="00924407" w:rsidRDefault="0074332B" w:rsidP="0074332B">
      <w:pPr>
        <w:spacing w:after="0" w:line="240" w:lineRule="auto"/>
        <w:jc w:val="both"/>
        <w:rPr>
          <w:rFonts w:eastAsia="Times New Roman" w:cs="Calibri"/>
          <w:b/>
          <w:i/>
          <w:color w:val="632423"/>
          <w:sz w:val="24"/>
          <w:szCs w:val="24"/>
        </w:rPr>
      </w:pPr>
      <w:r w:rsidRPr="00924407">
        <w:rPr>
          <w:rFonts w:eastAsia="Times New Roman" w:cs="Calibri"/>
          <w:b/>
          <w:color w:val="632423"/>
          <w:sz w:val="24"/>
          <w:szCs w:val="24"/>
        </w:rPr>
        <w:t>Bütçe Dengesi</w:t>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sidRPr="006B1F74">
        <w:rPr>
          <w:rFonts w:eastAsia="Times New Roman" w:cs="Calibri"/>
          <w:b/>
          <w:i/>
          <w:color w:val="632423"/>
          <w:sz w:val="24"/>
          <w:szCs w:val="24"/>
        </w:rPr>
        <w:t xml:space="preserve">            </w:t>
      </w:r>
      <w:r w:rsidR="006B1F74" w:rsidRPr="006B1F74">
        <w:rPr>
          <w:rFonts w:eastAsia="Times New Roman" w:cs="Calibri"/>
          <w:b/>
          <w:i/>
          <w:color w:val="632423"/>
          <w:sz w:val="24"/>
          <w:szCs w:val="24"/>
        </w:rPr>
        <w:t xml:space="preserve">                  </w:t>
      </w:r>
      <w:r w:rsidR="00B1470D">
        <w:rPr>
          <w:rFonts w:eastAsia="Times New Roman" w:cs="Calibri"/>
          <w:b/>
          <w:i/>
          <w:color w:val="632423"/>
          <w:sz w:val="24"/>
          <w:szCs w:val="24"/>
        </w:rPr>
        <w:t xml:space="preserve"> </w:t>
      </w:r>
      <w:r w:rsidR="006B1F74" w:rsidRPr="006B1F74">
        <w:rPr>
          <w:rFonts w:eastAsia="Times New Roman" w:cs="Calibri"/>
          <w:b/>
          <w:i/>
          <w:color w:val="632423"/>
          <w:sz w:val="24"/>
          <w:szCs w:val="24"/>
        </w:rPr>
        <w:t xml:space="preserve">              Tek seferlik gelirler katkı verdi</w:t>
      </w:r>
      <w:r>
        <w:rPr>
          <w:rFonts w:eastAsia="Times New Roman" w:cs="Calibri"/>
          <w:b/>
          <w:color w:val="632423"/>
          <w:sz w:val="24"/>
          <w:szCs w:val="24"/>
        </w:rPr>
        <w:t xml:space="preserve"> </w:t>
      </w:r>
    </w:p>
    <w:p w:rsidR="0074332B" w:rsidRPr="00E06BD4" w:rsidRDefault="0074332B" w:rsidP="0074332B">
      <w:pPr>
        <w:spacing w:after="0" w:line="240" w:lineRule="auto"/>
        <w:jc w:val="both"/>
        <w:rPr>
          <w:rFonts w:eastAsia="Times New Roman" w:cs="Calibri"/>
          <w:b/>
          <w:i/>
          <w:color w:val="632423"/>
          <w:sz w:val="24"/>
          <w:szCs w:val="24"/>
        </w:rPr>
      </w:pPr>
    </w:p>
    <w:p w:rsidR="0074332B" w:rsidRDefault="0074332B" w:rsidP="0074332B">
      <w:pPr>
        <w:spacing w:after="0" w:line="240" w:lineRule="auto"/>
        <w:jc w:val="both"/>
      </w:pPr>
      <w:r w:rsidRPr="0051698D">
        <w:t>Merkezi yönetim bütçesi, Ağustos ayında 576 milyon TL fazla vermiş</w:t>
      </w:r>
      <w:r>
        <w:t xml:space="preserve">tir. </w:t>
      </w:r>
      <w:proofErr w:type="spellStart"/>
      <w:r>
        <w:t>TCMB’nin</w:t>
      </w:r>
      <w:proofErr w:type="spellEnd"/>
      <w:r>
        <w:t xml:space="preserve"> </w:t>
      </w:r>
      <w:r w:rsidRPr="008D15EA">
        <w:t>İhtiyaç Akçesi</w:t>
      </w:r>
      <w:r>
        <w:t>’nin aralarında bulunduğu bir defaya mahsus gelirler hariç tutularak hesaplanan program tanımlı faiz dışı denge ise Ağustos’ta 8,6 milyar TL açık vermiştir.</w:t>
      </w:r>
      <w:r w:rsidRPr="007236B1">
        <w:t xml:space="preserve"> </w:t>
      </w:r>
    </w:p>
    <w:p w:rsidR="0074332B" w:rsidRDefault="0074332B" w:rsidP="0074332B">
      <w:pPr>
        <w:spacing w:after="0" w:line="240" w:lineRule="auto"/>
        <w:jc w:val="both"/>
      </w:pPr>
    </w:p>
    <w:p w:rsidR="0074332B" w:rsidRDefault="0074332B" w:rsidP="0074332B">
      <w:pPr>
        <w:spacing w:after="0" w:line="240" w:lineRule="auto"/>
        <w:jc w:val="both"/>
      </w:pPr>
      <w:r>
        <w:t>Hazine ve Maliye Bakanlığı’nın verilerine göre; Ağustos ayında</w:t>
      </w:r>
      <w:r w:rsidRPr="0051698D">
        <w:t xml:space="preserve"> geçen yılın aynı ayına göre bütçe gelirleri %34,1 artışla 94,3 milyar</w:t>
      </w:r>
      <w:r>
        <w:t xml:space="preserve"> TL’ye yükselmiştir. Vergi gelirlerinde yılbaşından bu yana yaşanan zayıf seyir sürmüş,  bu kalem Ağustos ayında %9,3 ile enflasyon oranının altında artış kaydetmiştir.</w:t>
      </w:r>
    </w:p>
    <w:p w:rsidR="0074332B" w:rsidRDefault="0074332B" w:rsidP="0074332B">
      <w:pPr>
        <w:spacing w:after="0" w:line="240" w:lineRule="auto"/>
        <w:jc w:val="both"/>
      </w:pPr>
    </w:p>
    <w:p w:rsidR="0074332B" w:rsidRPr="0051698D" w:rsidRDefault="0074332B" w:rsidP="0074332B">
      <w:pPr>
        <w:spacing w:after="0" w:line="240" w:lineRule="auto"/>
        <w:jc w:val="both"/>
      </w:pPr>
      <w:r>
        <w:t>Ağustos 2019’da</w:t>
      </w:r>
      <w:r w:rsidRPr="0051698D">
        <w:t xml:space="preserve"> bütçe harcamaları ise %23,2 artışla 93,7 milyar TL’ye ulaşmıştır. </w:t>
      </w:r>
      <w:r>
        <w:t>Sağlık, emeklilik ve sosyal yardım giderlerindeki artışın etkisiyle cari transferler bu dönemde bütçe harcamalarındaki yükselişe en fazla katkı sağlayan kalem olmuş; onu personel giderleri izlemiştir.</w:t>
      </w:r>
    </w:p>
    <w:p w:rsidR="0074332B" w:rsidRPr="0051698D" w:rsidRDefault="0074332B" w:rsidP="0074332B">
      <w:pPr>
        <w:spacing w:after="0" w:line="240" w:lineRule="auto"/>
        <w:jc w:val="both"/>
      </w:pPr>
    </w:p>
    <w:p w:rsidR="0074332B" w:rsidRDefault="0074332B" w:rsidP="0074332B">
      <w:pPr>
        <w:spacing w:after="0" w:line="240" w:lineRule="auto"/>
        <w:jc w:val="both"/>
      </w:pPr>
      <w:r w:rsidRPr="0051698D">
        <w:t>Geçtiğimiz yılın Ocak</w:t>
      </w:r>
      <w:r w:rsidR="006B1F74">
        <w:t xml:space="preserve"> </w:t>
      </w:r>
      <w:r w:rsidRPr="0051698D">
        <w:t>-</w:t>
      </w:r>
      <w:r w:rsidR="006B1F74">
        <w:t xml:space="preserve"> </w:t>
      </w:r>
      <w:r w:rsidRPr="0051698D">
        <w:t>Ağustos döneminde 50,8 milyar TL olan bütçe açığının bu yılın aynı döneminde 68,1 milyar TL’ye çıktığı görülmüş</w:t>
      </w:r>
      <w:r>
        <w:t xml:space="preserve">tür. TCMB kârı ve İhtiyaç Akçesi gibi bir defaya mahsus gelirler hariç tutularak hesaplanan program tanımlı faiz dışı dengedeki açık da aynı dönemde geçen yılki 30 milyar TL seviyesinden 95,8 milyar TL’ye çıkmış, </w:t>
      </w:r>
      <w:proofErr w:type="spellStart"/>
      <w:r>
        <w:t>yıllıklandırılmış</w:t>
      </w:r>
      <w:proofErr w:type="spellEnd"/>
      <w:r>
        <w:t xml:space="preserve"> olarak da 121,5 milyar TL’ye ulaşmıştır. </w:t>
      </w:r>
    </w:p>
    <w:p w:rsidR="0053670F" w:rsidRDefault="0053670F" w:rsidP="0074332B">
      <w:pPr>
        <w:spacing w:after="0" w:line="240" w:lineRule="auto"/>
        <w:jc w:val="both"/>
        <w:rPr>
          <w:b/>
        </w:rPr>
      </w:pPr>
    </w:p>
    <w:p w:rsidR="006B1F74" w:rsidRDefault="0074332B" w:rsidP="0074332B">
      <w:pPr>
        <w:spacing w:after="0" w:line="240" w:lineRule="auto"/>
        <w:jc w:val="both"/>
        <w:rPr>
          <w:rFonts w:eastAsia="Times New Roman" w:cs="Calibri"/>
          <w:b/>
          <w:i/>
          <w:color w:val="632423"/>
          <w:sz w:val="24"/>
          <w:szCs w:val="24"/>
        </w:rPr>
      </w:pPr>
      <w:r w:rsidRPr="00924407">
        <w:rPr>
          <w:rFonts w:eastAsia="Times New Roman" w:cs="Calibri"/>
          <w:b/>
          <w:color w:val="632423"/>
          <w:sz w:val="24"/>
          <w:szCs w:val="24"/>
        </w:rPr>
        <w:t>İstihdam</w:t>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sidRPr="00924407">
        <w:rPr>
          <w:rFonts w:eastAsia="Times New Roman" w:cs="Calibri"/>
          <w:b/>
          <w:color w:val="632423"/>
          <w:sz w:val="24"/>
          <w:szCs w:val="24"/>
        </w:rPr>
        <w:tab/>
      </w:r>
      <w:r>
        <w:rPr>
          <w:rFonts w:eastAsia="Times New Roman" w:cs="Calibri"/>
          <w:b/>
          <w:i/>
          <w:color w:val="632423"/>
          <w:sz w:val="24"/>
          <w:szCs w:val="24"/>
        </w:rPr>
        <w:t xml:space="preserve">       </w:t>
      </w:r>
      <w:r w:rsidR="00A84DF0">
        <w:rPr>
          <w:rFonts w:eastAsia="Times New Roman" w:cs="Calibri"/>
          <w:b/>
          <w:i/>
          <w:color w:val="632423"/>
          <w:sz w:val="24"/>
          <w:szCs w:val="24"/>
        </w:rPr>
        <w:t xml:space="preserve">        </w:t>
      </w:r>
      <w:r w:rsidR="006B1F74">
        <w:rPr>
          <w:rFonts w:eastAsia="Times New Roman" w:cs="Calibri"/>
          <w:b/>
          <w:i/>
          <w:color w:val="632423"/>
          <w:sz w:val="24"/>
          <w:szCs w:val="24"/>
        </w:rPr>
        <w:t xml:space="preserve">    </w:t>
      </w:r>
      <w:r w:rsidR="00B1470D">
        <w:rPr>
          <w:rFonts w:eastAsia="Times New Roman" w:cs="Calibri"/>
          <w:b/>
          <w:i/>
          <w:color w:val="632423"/>
          <w:sz w:val="24"/>
          <w:szCs w:val="24"/>
        </w:rPr>
        <w:t xml:space="preserve">     </w:t>
      </w:r>
      <w:r w:rsidR="006B1F74">
        <w:rPr>
          <w:rFonts w:eastAsia="Times New Roman" w:cs="Calibri"/>
          <w:b/>
          <w:i/>
          <w:color w:val="632423"/>
          <w:sz w:val="24"/>
          <w:szCs w:val="24"/>
        </w:rPr>
        <w:t xml:space="preserve">            </w:t>
      </w:r>
      <w:r w:rsidR="00A84DF0">
        <w:rPr>
          <w:rFonts w:eastAsia="Times New Roman" w:cs="Calibri"/>
          <w:b/>
          <w:i/>
          <w:color w:val="632423"/>
          <w:sz w:val="24"/>
          <w:szCs w:val="24"/>
        </w:rPr>
        <w:t xml:space="preserve">        İşsizlikte e</w:t>
      </w:r>
      <w:r>
        <w:rPr>
          <w:rFonts w:eastAsia="Times New Roman" w:cs="Calibri"/>
          <w:b/>
          <w:i/>
          <w:color w:val="632423"/>
          <w:sz w:val="24"/>
          <w:szCs w:val="24"/>
        </w:rPr>
        <w:t>n zor Haziran</w:t>
      </w:r>
    </w:p>
    <w:p w:rsidR="0074332B" w:rsidRPr="00924407" w:rsidRDefault="0074332B" w:rsidP="0074332B">
      <w:pPr>
        <w:spacing w:after="0" w:line="240" w:lineRule="auto"/>
        <w:jc w:val="both"/>
      </w:pPr>
      <w:r>
        <w:rPr>
          <w:rFonts w:eastAsia="Times New Roman" w:cs="Calibri"/>
          <w:b/>
          <w:i/>
          <w:color w:val="632423"/>
          <w:sz w:val="24"/>
          <w:szCs w:val="24"/>
        </w:rPr>
        <w:t xml:space="preserve"> </w:t>
      </w:r>
    </w:p>
    <w:p w:rsidR="001879B9" w:rsidRDefault="0074332B" w:rsidP="0074332B">
      <w:pPr>
        <w:autoSpaceDE w:val="0"/>
        <w:autoSpaceDN w:val="0"/>
        <w:adjustRightInd w:val="0"/>
        <w:spacing w:after="0" w:line="240" w:lineRule="auto"/>
        <w:jc w:val="both"/>
      </w:pPr>
      <w:r>
        <w:t>İşsizlikte geçen yılın ikinci yarısında başlayan artış devam etmiş, bu yılın ilk yarısına gelindiğinde 2014</w:t>
      </w:r>
      <w:r w:rsidR="007B1320">
        <w:t xml:space="preserve"> </w:t>
      </w:r>
      <w:r>
        <w:t>-</w:t>
      </w:r>
      <w:r w:rsidR="007B1320">
        <w:t xml:space="preserve"> </w:t>
      </w:r>
      <w:r>
        <w:t>2018 döneminden belirgin bir ayrışma yaşandığı görülmüştür.</w:t>
      </w:r>
      <w:r w:rsidR="007B1320">
        <w:t xml:space="preserve"> </w:t>
      </w:r>
    </w:p>
    <w:p w:rsidR="001879B9" w:rsidRDefault="001879B9" w:rsidP="0074332B">
      <w:pPr>
        <w:autoSpaceDE w:val="0"/>
        <w:autoSpaceDN w:val="0"/>
        <w:adjustRightInd w:val="0"/>
        <w:spacing w:after="0" w:line="240" w:lineRule="auto"/>
        <w:jc w:val="both"/>
      </w:pPr>
    </w:p>
    <w:p w:rsidR="001879B9" w:rsidRDefault="0074332B" w:rsidP="0074332B">
      <w:pPr>
        <w:autoSpaceDE w:val="0"/>
        <w:autoSpaceDN w:val="0"/>
        <w:adjustRightInd w:val="0"/>
        <w:spacing w:after="0" w:line="240" w:lineRule="auto"/>
        <w:jc w:val="both"/>
      </w:pPr>
      <w:proofErr w:type="spellStart"/>
      <w:r w:rsidRPr="00303DF5">
        <w:lastRenderedPageBreak/>
        <w:t>TÜİK’in</w:t>
      </w:r>
      <w:proofErr w:type="spellEnd"/>
      <w:r w:rsidRPr="00303DF5">
        <w:t xml:space="preserve"> açıkladığı verilere göre; Türkiye'de işsiz sayısı Haziran'da geçen yılın aynı dönemine göre 938 bin kişi artarak 4 milyon 253 bin kişi olmuştur. Böylece işsizlik oranı, </w:t>
      </w:r>
      <w:r>
        <w:t xml:space="preserve">gerçekleştirilen öğretmen atamaları ve turizm sezonuna rağmen </w:t>
      </w:r>
      <w:r w:rsidRPr="00303DF5">
        <w:t xml:space="preserve">Haziran’da yıllık </w:t>
      </w:r>
      <w:proofErr w:type="gramStart"/>
      <w:r w:rsidRPr="00303DF5">
        <w:t>bazda</w:t>
      </w:r>
      <w:proofErr w:type="gramEnd"/>
      <w:r w:rsidRPr="00303DF5">
        <w:t xml:space="preserve"> 2,8 puan artarak %13 olarak kaydedilmiş</w:t>
      </w:r>
      <w:r>
        <w:t>tir. 2019 yılı Haziran ayı şimdiye kadar işsizliğin en yüksek olduğu ay olarak kayda geçmiş</w:t>
      </w:r>
      <w:r w:rsidR="001879B9">
        <w:t>tir.</w:t>
      </w:r>
    </w:p>
    <w:p w:rsidR="001879B9" w:rsidRDefault="001879B9" w:rsidP="0074332B">
      <w:pPr>
        <w:autoSpaceDE w:val="0"/>
        <w:autoSpaceDN w:val="0"/>
        <w:adjustRightInd w:val="0"/>
        <w:spacing w:after="0" w:line="240" w:lineRule="auto"/>
        <w:jc w:val="both"/>
      </w:pPr>
    </w:p>
    <w:p w:rsidR="0074332B" w:rsidRDefault="0074332B" w:rsidP="0074332B">
      <w:pPr>
        <w:autoSpaceDE w:val="0"/>
        <w:autoSpaceDN w:val="0"/>
        <w:adjustRightInd w:val="0"/>
        <w:spacing w:after="0" w:line="240" w:lineRule="auto"/>
        <w:jc w:val="both"/>
      </w:pPr>
      <w:r w:rsidRPr="00303DF5">
        <w:t>İşgücü 2019 yılı Haziran döneminde işgücüne katılma oranı 0,5 puanlık azalış ile %53,3 olarak gerçekleşmiştir. Önceki yılın aynı dönemi ile karşılaştırıldığında tarım sektörünün istihdam edilenler içindeki payı 0,3 puan, inşaat sektörünün payı 1,5 puan azalırken, sanayi sektörünün payı 0,1 puan, hizmet sektörünün payı 1,7 puan artmıştır.</w:t>
      </w:r>
      <w:r w:rsidR="00AC67B5">
        <w:t xml:space="preserve"> </w:t>
      </w:r>
      <w:r w:rsidRPr="00303DF5">
        <w:t>Aynı dönemde; tarım dışı işsizlik oranı 3,2 puanlık artış ile %15,3 olarak tahmin edilirken; genç nüfusta (15-24 yaş) işsizlik oranı 5,4 puanlık artış ile %24,8 olmuş,15-64 yaş grubunda bu oran 2,9 puanlık artış ile %13,3 olarak gerçekleşmiştir.</w:t>
      </w:r>
      <w:r>
        <w:t xml:space="preserve"> Genç işsizlikte eğitimli kadın ve toplam 8 yıl eğitim almış erkek nüfusun ağırlığına işaret eden </w:t>
      </w:r>
      <w:r w:rsidR="00492AE2">
        <w:t>Türkiye Ekonomi Politikaları Araştırma Vakfı (</w:t>
      </w:r>
      <w:r>
        <w:t>TEPAV</w:t>
      </w:r>
      <w:r w:rsidR="00492AE2">
        <w:t>)</w:t>
      </w:r>
      <w:r>
        <w:t>, istihdam politikalarında genç işsizleri genel olarak ele almak yerine cinsiyet ve eğitim durumu temel alınarak politika tasarımı önerisi yapmıştır.</w:t>
      </w:r>
    </w:p>
    <w:p w:rsidR="005E54D7" w:rsidRDefault="005E54D7" w:rsidP="0074332B">
      <w:pPr>
        <w:autoSpaceDE w:val="0"/>
        <w:autoSpaceDN w:val="0"/>
        <w:adjustRightInd w:val="0"/>
        <w:spacing w:after="0" w:line="240" w:lineRule="auto"/>
        <w:jc w:val="both"/>
      </w:pPr>
    </w:p>
    <w:p w:rsidR="0074332B" w:rsidRPr="00924407" w:rsidRDefault="0074332B" w:rsidP="0074332B">
      <w:pPr>
        <w:spacing w:after="0" w:line="240" w:lineRule="auto"/>
        <w:rPr>
          <w:rFonts w:eastAsia="Times New Roman" w:cs="Calibri"/>
          <w:b/>
          <w:i/>
          <w:color w:val="632423"/>
          <w:sz w:val="24"/>
          <w:szCs w:val="24"/>
        </w:rPr>
      </w:pPr>
      <w:r w:rsidRPr="00924407">
        <w:rPr>
          <w:rFonts w:ascii="Calibri" w:eastAsia="Calibri" w:hAnsi="Calibri" w:cs="Soho Gothic Pro"/>
          <w:b/>
          <w:color w:val="632423"/>
          <w:sz w:val="24"/>
          <w:szCs w:val="24"/>
          <w:lang w:eastAsia="en-US"/>
        </w:rPr>
        <w:t>Güven Endeksleri</w:t>
      </w:r>
      <w:r w:rsidRPr="00924407">
        <w:rPr>
          <w:rFonts w:ascii="Calibri" w:eastAsia="Calibri" w:hAnsi="Calibri" w:cs="Soho Gothic Pro"/>
          <w:b/>
          <w:color w:val="632423"/>
          <w:sz w:val="24"/>
          <w:szCs w:val="24"/>
          <w:lang w:eastAsia="en-US"/>
        </w:rPr>
        <w:tab/>
      </w:r>
      <w:r w:rsidRPr="00924407">
        <w:rPr>
          <w:rFonts w:ascii="Calibri" w:eastAsia="Calibri" w:hAnsi="Calibri" w:cs="Soho Gothic Pro"/>
          <w:b/>
          <w:color w:val="632423"/>
          <w:sz w:val="24"/>
          <w:szCs w:val="24"/>
          <w:lang w:eastAsia="en-US"/>
        </w:rPr>
        <w:tab/>
      </w:r>
      <w:r w:rsidRPr="00924407">
        <w:rPr>
          <w:rFonts w:ascii="Calibri" w:eastAsia="Calibri" w:hAnsi="Calibri" w:cs="Soho Gothic Pro"/>
          <w:b/>
          <w:color w:val="632423"/>
          <w:sz w:val="24"/>
          <w:szCs w:val="24"/>
          <w:lang w:eastAsia="en-US"/>
        </w:rPr>
        <w:tab/>
      </w:r>
      <w:r w:rsidR="00B1470D">
        <w:rPr>
          <w:rFonts w:ascii="Calibri" w:eastAsia="Calibri" w:hAnsi="Calibri" w:cs="Soho Gothic Pro"/>
          <w:b/>
          <w:color w:val="632423"/>
          <w:sz w:val="24"/>
          <w:szCs w:val="24"/>
          <w:lang w:eastAsia="en-US"/>
        </w:rPr>
        <w:t xml:space="preserve"> </w:t>
      </w:r>
      <w:r w:rsidRPr="00924407">
        <w:rPr>
          <w:rFonts w:ascii="Calibri" w:eastAsia="Calibri" w:hAnsi="Calibri" w:cs="Soho Gothic Pro"/>
          <w:b/>
          <w:color w:val="632423"/>
          <w:sz w:val="24"/>
          <w:szCs w:val="24"/>
          <w:lang w:eastAsia="en-US"/>
        </w:rPr>
        <w:tab/>
      </w:r>
      <w:r w:rsidR="00D31A2A">
        <w:rPr>
          <w:rFonts w:eastAsia="Times New Roman" w:cs="Calibri"/>
          <w:b/>
          <w:i/>
          <w:color w:val="632423"/>
          <w:sz w:val="24"/>
          <w:szCs w:val="24"/>
        </w:rPr>
        <w:t xml:space="preserve">              </w:t>
      </w:r>
      <w:r>
        <w:rPr>
          <w:rFonts w:eastAsia="Times New Roman" w:cs="Calibri"/>
          <w:b/>
          <w:i/>
          <w:color w:val="632423"/>
          <w:sz w:val="24"/>
          <w:szCs w:val="24"/>
        </w:rPr>
        <w:t xml:space="preserve"> </w:t>
      </w:r>
      <w:r w:rsidR="00D31A2A">
        <w:rPr>
          <w:rFonts w:eastAsia="Times New Roman" w:cs="Calibri"/>
          <w:b/>
          <w:i/>
          <w:color w:val="632423"/>
          <w:sz w:val="24"/>
          <w:szCs w:val="24"/>
        </w:rPr>
        <w:t xml:space="preserve">      </w:t>
      </w:r>
      <w:r w:rsidRPr="00924407">
        <w:rPr>
          <w:rFonts w:eastAsia="Times New Roman" w:cs="Calibri"/>
          <w:b/>
          <w:i/>
          <w:color w:val="632423"/>
          <w:sz w:val="24"/>
          <w:szCs w:val="24"/>
        </w:rPr>
        <w:t xml:space="preserve">   </w:t>
      </w:r>
      <w:r w:rsidR="00D31A2A">
        <w:rPr>
          <w:rFonts w:eastAsia="Times New Roman" w:cs="Calibri"/>
          <w:b/>
          <w:i/>
          <w:color w:val="632423"/>
          <w:sz w:val="24"/>
          <w:szCs w:val="24"/>
        </w:rPr>
        <w:t>Tüketim ve imalatta güven geriledi</w:t>
      </w:r>
    </w:p>
    <w:p w:rsidR="0074332B" w:rsidRPr="00924407" w:rsidRDefault="0074332B" w:rsidP="0074332B">
      <w:pPr>
        <w:spacing w:after="0" w:line="240" w:lineRule="auto"/>
        <w:rPr>
          <w:rFonts w:cstheme="minorHAnsi"/>
          <w:shd w:val="clear" w:color="auto" w:fill="FFFFFF"/>
        </w:rPr>
      </w:pPr>
      <w:r w:rsidRPr="00924407">
        <w:rPr>
          <w:rFonts w:cstheme="minorHAnsi"/>
          <w:shd w:val="clear" w:color="auto" w:fill="FFFFFF"/>
        </w:rPr>
        <w:t xml:space="preserve"> </w:t>
      </w:r>
    </w:p>
    <w:p w:rsidR="00810842" w:rsidRDefault="0074332B" w:rsidP="0074332B">
      <w:pPr>
        <w:spacing w:after="0" w:line="240" w:lineRule="auto"/>
        <w:jc w:val="both"/>
        <w:rPr>
          <w:rFonts w:cstheme="minorHAnsi"/>
        </w:rPr>
      </w:pPr>
      <w:r w:rsidRPr="00EC3985">
        <w:rPr>
          <w:rFonts w:cstheme="minorHAnsi"/>
        </w:rPr>
        <w:t>Tüketici Güven Endeksi</w:t>
      </w:r>
      <w:r w:rsidR="00D31A2A">
        <w:rPr>
          <w:rFonts w:cstheme="minorHAnsi"/>
        </w:rPr>
        <w:t>,</w:t>
      </w:r>
      <w:r w:rsidRPr="00EC3985">
        <w:rPr>
          <w:rFonts w:cstheme="minorHAnsi"/>
        </w:rPr>
        <w:t xml:space="preserve"> Eylül ayında 58,3’ten 55,8’e </w:t>
      </w:r>
      <w:r w:rsidR="00D31A2A">
        <w:rPr>
          <w:rFonts w:cstheme="minorHAnsi"/>
        </w:rPr>
        <w:t xml:space="preserve">gerilemiştir. </w:t>
      </w:r>
      <w:r w:rsidR="006B1F74">
        <w:rPr>
          <w:rFonts w:cstheme="minorHAnsi"/>
        </w:rPr>
        <w:t>İ</w:t>
      </w:r>
      <w:r w:rsidR="00506675">
        <w:rPr>
          <w:rFonts w:cstheme="minorHAnsi"/>
        </w:rPr>
        <w:t xml:space="preserve">şsizlik ve maddi durum beklentisine dair gerilemenin dikkat çektiği </w:t>
      </w:r>
      <w:r w:rsidR="002161D6">
        <w:rPr>
          <w:rFonts w:cstheme="minorHAnsi"/>
        </w:rPr>
        <w:t>endeks, g</w:t>
      </w:r>
      <w:r w:rsidRPr="00EC3985">
        <w:rPr>
          <w:rFonts w:cstheme="minorHAnsi"/>
        </w:rPr>
        <w:t xml:space="preserve">eçen yılın </w:t>
      </w:r>
      <w:r w:rsidR="00506675">
        <w:rPr>
          <w:rFonts w:cstheme="minorHAnsi"/>
        </w:rPr>
        <w:t xml:space="preserve">aynı </w:t>
      </w:r>
      <w:r w:rsidR="00810842">
        <w:rPr>
          <w:rFonts w:cstheme="minorHAnsi"/>
        </w:rPr>
        <w:t>döneminde</w:t>
      </w:r>
      <w:r w:rsidR="006B1F74">
        <w:rPr>
          <w:rFonts w:cstheme="minorHAnsi"/>
        </w:rPr>
        <w:t xml:space="preserve"> ise</w:t>
      </w:r>
      <w:r w:rsidR="00810842">
        <w:rPr>
          <w:rFonts w:cstheme="minorHAnsi"/>
        </w:rPr>
        <w:t xml:space="preserve"> 68,3 seviyesinden keskin bir düşüşle 59,3 seviyesine gerilemişti.</w:t>
      </w:r>
    </w:p>
    <w:p w:rsidR="00A84DF0" w:rsidRDefault="00A84DF0" w:rsidP="0074332B">
      <w:pPr>
        <w:spacing w:after="0" w:line="240" w:lineRule="auto"/>
        <w:jc w:val="both"/>
        <w:rPr>
          <w:rFonts w:cstheme="minorHAnsi"/>
        </w:rPr>
      </w:pPr>
    </w:p>
    <w:p w:rsidR="00D31A2A" w:rsidRDefault="0074332B" w:rsidP="0074332B">
      <w:pPr>
        <w:spacing w:after="0" w:line="240" w:lineRule="auto"/>
        <w:jc w:val="both"/>
        <w:rPr>
          <w:rFonts w:cstheme="minorHAnsi"/>
        </w:rPr>
      </w:pPr>
      <w:r w:rsidRPr="00D31A2A">
        <w:rPr>
          <w:rFonts w:cstheme="minorHAnsi"/>
        </w:rPr>
        <w:t xml:space="preserve">Eylül’de </w:t>
      </w:r>
      <w:r w:rsidR="00D31A2A" w:rsidRPr="00D31A2A">
        <w:rPr>
          <w:rFonts w:cstheme="minorHAnsi"/>
        </w:rPr>
        <w:t>Reel Kesim (İmalat Sanayi) Güven Endeksi de</w:t>
      </w:r>
      <w:r w:rsidR="00D31A2A">
        <w:rPr>
          <w:rFonts w:cstheme="minorHAnsi"/>
        </w:rPr>
        <w:t xml:space="preserve"> 102,1 seviyesinden 99,7 seviyesine düşmüştür. Aynı dönemde </w:t>
      </w:r>
      <w:r w:rsidR="00810842" w:rsidRPr="00EC3985">
        <w:rPr>
          <w:rFonts w:cstheme="minorHAnsi"/>
        </w:rPr>
        <w:t xml:space="preserve">Hizmet Sektörü Güven Endeksi </w:t>
      </w:r>
      <w:r w:rsidRPr="00EC3985">
        <w:rPr>
          <w:rFonts w:cstheme="minorHAnsi"/>
        </w:rPr>
        <w:t xml:space="preserve">%0,2 </w:t>
      </w:r>
      <w:r w:rsidR="006B1F74">
        <w:rPr>
          <w:rFonts w:cstheme="minorHAnsi"/>
        </w:rPr>
        <w:t xml:space="preserve">oranında </w:t>
      </w:r>
      <w:r w:rsidRPr="00EC3985">
        <w:rPr>
          <w:rFonts w:cstheme="minorHAnsi"/>
        </w:rPr>
        <w:t xml:space="preserve">artışla 89,3 ve </w:t>
      </w:r>
      <w:r w:rsidR="00810842" w:rsidRPr="00EC3985">
        <w:rPr>
          <w:rFonts w:cstheme="minorHAnsi"/>
        </w:rPr>
        <w:t xml:space="preserve">Perakende Ticaret Sektörü Güven Endeksi </w:t>
      </w:r>
      <w:r w:rsidRPr="00EC3985">
        <w:rPr>
          <w:rFonts w:cstheme="minorHAnsi"/>
        </w:rPr>
        <w:t xml:space="preserve">ise %2,7 oranında artışla 97,6 olmuştur. İnşaat </w:t>
      </w:r>
      <w:r w:rsidR="00810842" w:rsidRPr="00EC3985">
        <w:rPr>
          <w:rFonts w:cstheme="minorHAnsi"/>
        </w:rPr>
        <w:t>Sektörü Güven Endeksi</w:t>
      </w:r>
      <w:r w:rsidR="006D5388">
        <w:rPr>
          <w:rFonts w:cstheme="minorHAnsi"/>
        </w:rPr>
        <w:t xml:space="preserve"> de</w:t>
      </w:r>
      <w:r w:rsidRPr="00EC3985">
        <w:rPr>
          <w:rFonts w:cstheme="minorHAnsi"/>
        </w:rPr>
        <w:t xml:space="preserve"> %8,3 oranında </w:t>
      </w:r>
      <w:r w:rsidR="006D5388">
        <w:rPr>
          <w:rFonts w:cstheme="minorHAnsi"/>
        </w:rPr>
        <w:t xml:space="preserve">yükseliş ile </w:t>
      </w:r>
      <w:r w:rsidRPr="00EC3985">
        <w:rPr>
          <w:rFonts w:cstheme="minorHAnsi"/>
        </w:rPr>
        <w:t>60,1 olarak kaydedilmiştir.</w:t>
      </w:r>
      <w:r>
        <w:rPr>
          <w:rFonts w:cstheme="minorHAnsi"/>
        </w:rPr>
        <w:t xml:space="preserve"> </w:t>
      </w:r>
      <w:r w:rsidR="00D31A2A" w:rsidRPr="00EC3985">
        <w:rPr>
          <w:rFonts w:cstheme="minorHAnsi"/>
        </w:rPr>
        <w:t>İnşaat Sektörü Güven Endeksi</w:t>
      </w:r>
      <w:r w:rsidR="00D31A2A">
        <w:rPr>
          <w:rFonts w:cstheme="minorHAnsi"/>
        </w:rPr>
        <w:t xml:space="preserve">’ndeki artışta gelecek üç aylık dönemde toplam çalışan beklentisindeki </w:t>
      </w:r>
      <w:r w:rsidR="006D5388">
        <w:rPr>
          <w:rFonts w:cstheme="minorHAnsi"/>
        </w:rPr>
        <w:t>iyimserlik</w:t>
      </w:r>
      <w:r w:rsidR="00D31A2A">
        <w:rPr>
          <w:rFonts w:cstheme="minorHAnsi"/>
        </w:rPr>
        <w:t xml:space="preserve"> etkili olmuştur.</w:t>
      </w:r>
    </w:p>
    <w:p w:rsidR="00D31A2A" w:rsidRDefault="00D31A2A" w:rsidP="0074332B">
      <w:pPr>
        <w:spacing w:after="0" w:line="240" w:lineRule="auto"/>
        <w:jc w:val="both"/>
        <w:rPr>
          <w:rFonts w:cstheme="minorHAnsi"/>
        </w:rPr>
      </w:pPr>
    </w:p>
    <w:p w:rsidR="00D31A2A" w:rsidRDefault="00D31A2A" w:rsidP="00D31A2A">
      <w:pPr>
        <w:spacing w:after="0" w:line="240" w:lineRule="auto"/>
        <w:jc w:val="both"/>
        <w:rPr>
          <w:rFonts w:cstheme="minorHAnsi"/>
        </w:rPr>
      </w:pPr>
      <w:r>
        <w:rPr>
          <w:rFonts w:cstheme="minorHAnsi"/>
        </w:rPr>
        <w:t>T</w:t>
      </w:r>
      <w:r w:rsidRPr="00D31A2A">
        <w:rPr>
          <w:rFonts w:cstheme="minorHAnsi"/>
        </w:rPr>
        <w:t>üketici, reel kesim, hizmet, perakende ticaret ve inşaat sektör</w:t>
      </w:r>
      <w:r>
        <w:rPr>
          <w:rFonts w:cstheme="minorHAnsi"/>
        </w:rPr>
        <w:t>ü güven endekslerinin farklı ağırlıklarla birleştirilmesiyle oluşturulan Ekonomik Güven E</w:t>
      </w:r>
      <w:r w:rsidRPr="00A84DF0">
        <w:rPr>
          <w:rFonts w:cstheme="minorHAnsi"/>
        </w:rPr>
        <w:t xml:space="preserve">ndeksi </w:t>
      </w:r>
      <w:r>
        <w:rPr>
          <w:rFonts w:cstheme="minorHAnsi"/>
        </w:rPr>
        <w:t xml:space="preserve">ise </w:t>
      </w:r>
      <w:r w:rsidRPr="00A84DF0">
        <w:rPr>
          <w:rFonts w:cstheme="minorHAnsi"/>
        </w:rPr>
        <w:t xml:space="preserve">Ağustos ayında 87,1 </w:t>
      </w:r>
      <w:r>
        <w:rPr>
          <w:rFonts w:cstheme="minorHAnsi"/>
        </w:rPr>
        <w:t xml:space="preserve">seviyesinde </w:t>
      </w:r>
      <w:r w:rsidRPr="00A84DF0">
        <w:rPr>
          <w:rFonts w:cstheme="minorHAnsi"/>
        </w:rPr>
        <w:t>iken, Eylül a</w:t>
      </w:r>
      <w:r>
        <w:rPr>
          <w:rFonts w:cstheme="minorHAnsi"/>
        </w:rPr>
        <w:t>yında %1,3 oranında azalarak 86 değerine gerilemiştir.</w:t>
      </w:r>
      <w:r w:rsidRPr="002161D6">
        <w:rPr>
          <w:rFonts w:cstheme="minorHAnsi"/>
        </w:rPr>
        <w:t xml:space="preserve"> </w:t>
      </w:r>
      <w:r>
        <w:rPr>
          <w:rFonts w:cstheme="minorHAnsi"/>
        </w:rPr>
        <w:t xml:space="preserve">Bu durumda </w:t>
      </w:r>
      <w:r w:rsidRPr="00A84DF0">
        <w:rPr>
          <w:rFonts w:cstheme="minorHAnsi"/>
        </w:rPr>
        <w:t>tüketici ve reel kesim (imalat sanayi) güven endeksl</w:t>
      </w:r>
      <w:r>
        <w:rPr>
          <w:rFonts w:cstheme="minorHAnsi"/>
        </w:rPr>
        <w:t>erindeki düşüş etkili olmuştur.</w:t>
      </w:r>
    </w:p>
    <w:p w:rsidR="00AC67B5" w:rsidRDefault="00AC67B5" w:rsidP="00D31A2A">
      <w:pPr>
        <w:spacing w:after="0" w:line="240" w:lineRule="auto"/>
        <w:jc w:val="both"/>
        <w:rPr>
          <w:rFonts w:cstheme="minorHAnsi"/>
        </w:rPr>
      </w:pPr>
    </w:p>
    <w:p w:rsidR="0074332B" w:rsidRPr="00924407" w:rsidRDefault="0074332B" w:rsidP="0074332B">
      <w:pPr>
        <w:spacing w:after="0" w:line="240" w:lineRule="auto"/>
        <w:rPr>
          <w:rFonts w:ascii="Calibri" w:eastAsia="Calibri" w:hAnsi="Calibri" w:cs="Soho Gothic Pro"/>
          <w:b/>
          <w:color w:val="632423"/>
          <w:sz w:val="24"/>
          <w:szCs w:val="24"/>
          <w:lang w:eastAsia="en-US"/>
        </w:rPr>
      </w:pPr>
      <w:r w:rsidRPr="00924407">
        <w:rPr>
          <w:rFonts w:ascii="Calibri" w:eastAsia="Calibri" w:hAnsi="Calibri" w:cs="Soho Gothic Pro"/>
          <w:b/>
          <w:color w:val="632423"/>
          <w:sz w:val="24"/>
          <w:szCs w:val="24"/>
          <w:lang w:eastAsia="en-US"/>
        </w:rPr>
        <w:t xml:space="preserve">Kredi Notu ve Risk Primi                                             </w:t>
      </w:r>
      <w:r>
        <w:rPr>
          <w:rFonts w:ascii="Calibri" w:eastAsia="Calibri" w:hAnsi="Calibri" w:cs="Soho Gothic Pro"/>
          <w:b/>
          <w:color w:val="632423"/>
          <w:sz w:val="24"/>
          <w:szCs w:val="24"/>
          <w:lang w:eastAsia="en-US"/>
        </w:rPr>
        <w:t xml:space="preserve">        </w:t>
      </w:r>
      <w:r w:rsidR="00CE5CA2">
        <w:rPr>
          <w:rFonts w:ascii="Calibri" w:eastAsia="Calibri" w:hAnsi="Calibri" w:cs="Soho Gothic Pro"/>
          <w:b/>
          <w:color w:val="632423"/>
          <w:sz w:val="24"/>
          <w:szCs w:val="24"/>
          <w:lang w:eastAsia="en-US"/>
        </w:rPr>
        <w:t xml:space="preserve">     </w:t>
      </w:r>
      <w:r w:rsidR="00CE5CA2">
        <w:rPr>
          <w:rFonts w:ascii="Calibri" w:eastAsia="Calibri" w:hAnsi="Calibri" w:cs="Soho Gothic Pro"/>
          <w:b/>
          <w:i/>
          <w:color w:val="632423"/>
          <w:sz w:val="24"/>
          <w:szCs w:val="24"/>
          <w:lang w:eastAsia="en-US"/>
        </w:rPr>
        <w:t>Risk algısı azalsa da devam ediyor</w:t>
      </w:r>
    </w:p>
    <w:p w:rsidR="0074332B" w:rsidRPr="00924407" w:rsidRDefault="0074332B" w:rsidP="0074332B">
      <w:pPr>
        <w:spacing w:after="0" w:line="240" w:lineRule="auto"/>
        <w:rPr>
          <w:rFonts w:cstheme="minorHAnsi"/>
          <w:bCs/>
        </w:rPr>
      </w:pPr>
    </w:p>
    <w:p w:rsidR="006D5388" w:rsidRDefault="0074332B" w:rsidP="00CE5CA2">
      <w:pPr>
        <w:spacing w:after="0" w:line="240" w:lineRule="auto"/>
        <w:jc w:val="both"/>
        <w:rPr>
          <w:rFonts w:cstheme="minorHAnsi"/>
          <w:bCs/>
        </w:rPr>
      </w:pPr>
      <w:r w:rsidRPr="009F344D">
        <w:rPr>
          <w:rFonts w:cstheme="minorHAnsi"/>
          <w:color w:val="000000"/>
        </w:rPr>
        <w:t>Türkiye</w:t>
      </w:r>
      <w:r>
        <w:rPr>
          <w:rFonts w:cstheme="minorHAnsi"/>
          <w:color w:val="000000"/>
        </w:rPr>
        <w:t xml:space="preserve">’nin kredi notları ve CDS - </w:t>
      </w:r>
      <w:r w:rsidRPr="009F344D">
        <w:rPr>
          <w:rFonts w:cstheme="minorHAnsi"/>
          <w:bCs/>
        </w:rPr>
        <w:t>Kredi Temerrüt Risk Primi</w:t>
      </w:r>
      <w:r>
        <w:rPr>
          <w:rFonts w:cstheme="minorHAnsi"/>
          <w:bCs/>
        </w:rPr>
        <w:t xml:space="preserve"> ekonomi üzerinde maliyet oluşturmayı sürdürmektedir.</w:t>
      </w:r>
      <w:r w:rsidR="006D5388">
        <w:rPr>
          <w:rFonts w:cstheme="minorHAnsi"/>
          <w:bCs/>
        </w:rPr>
        <w:t xml:space="preserve"> </w:t>
      </w:r>
      <w:r>
        <w:rPr>
          <w:rFonts w:cstheme="minorHAnsi"/>
          <w:color w:val="000000"/>
        </w:rPr>
        <w:t>Türkiye ülke kredi notu</w:t>
      </w:r>
      <w:r w:rsidRPr="009F344D">
        <w:rPr>
          <w:rFonts w:cstheme="minorHAnsi"/>
          <w:color w:val="000000"/>
        </w:rPr>
        <w:t>, uluslararası kredi derecelendirmesi yapan üç büyük kuruluş</w:t>
      </w:r>
      <w:r>
        <w:rPr>
          <w:rFonts w:cstheme="minorHAnsi"/>
          <w:color w:val="000000"/>
        </w:rPr>
        <w:t xml:space="preserve"> olan </w:t>
      </w:r>
      <w:proofErr w:type="spellStart"/>
      <w:r>
        <w:rPr>
          <w:rFonts w:cstheme="minorHAnsi"/>
          <w:color w:val="000000"/>
        </w:rPr>
        <w:t>Moody’s</w:t>
      </w:r>
      <w:proofErr w:type="spellEnd"/>
      <w:r>
        <w:rPr>
          <w:rFonts w:cstheme="minorHAnsi"/>
          <w:color w:val="000000"/>
        </w:rPr>
        <w:t xml:space="preserve"> (B1), S&amp;P (B+) ve </w:t>
      </w:r>
      <w:proofErr w:type="spellStart"/>
      <w:r>
        <w:rPr>
          <w:rFonts w:cstheme="minorHAnsi"/>
          <w:color w:val="000000"/>
        </w:rPr>
        <w:t>Fitch</w:t>
      </w:r>
      <w:proofErr w:type="spellEnd"/>
      <w:r>
        <w:rPr>
          <w:rFonts w:cstheme="minorHAnsi"/>
          <w:color w:val="000000"/>
        </w:rPr>
        <w:t xml:space="preserve"> </w:t>
      </w:r>
      <w:proofErr w:type="spellStart"/>
      <w:r>
        <w:rPr>
          <w:rFonts w:cstheme="minorHAnsi"/>
          <w:color w:val="000000"/>
        </w:rPr>
        <w:t>Ratings</w:t>
      </w:r>
      <w:proofErr w:type="spellEnd"/>
      <w:r>
        <w:rPr>
          <w:rFonts w:cstheme="minorHAnsi"/>
          <w:color w:val="000000"/>
        </w:rPr>
        <w:t xml:space="preserve"> (BB-) nezdinde</w:t>
      </w:r>
      <w:r w:rsidRPr="009F344D">
        <w:rPr>
          <w:rFonts w:cstheme="minorHAnsi"/>
          <w:color w:val="000000"/>
        </w:rPr>
        <w:t xml:space="preserve"> yatırım seviyesinin altında bulunmakta</w:t>
      </w:r>
      <w:r>
        <w:rPr>
          <w:rFonts w:cstheme="minorHAnsi"/>
          <w:color w:val="000000"/>
        </w:rPr>
        <w:t xml:space="preserve">dır. </w:t>
      </w:r>
      <w:r w:rsidRPr="009F344D">
        <w:rPr>
          <w:rFonts w:cstheme="minorHAnsi"/>
          <w:bCs/>
        </w:rPr>
        <w:t>Geçen yılsonunda 155 seviyelerine kadar inen Türkiye risk p</w:t>
      </w:r>
      <w:r>
        <w:rPr>
          <w:rFonts w:cstheme="minorHAnsi"/>
          <w:bCs/>
        </w:rPr>
        <w:t>rimi</w:t>
      </w:r>
      <w:r w:rsidR="006D5388">
        <w:rPr>
          <w:rFonts w:cstheme="minorHAnsi"/>
          <w:bCs/>
        </w:rPr>
        <w:t xml:space="preserve"> ise</w:t>
      </w:r>
      <w:r w:rsidRPr="009F344D">
        <w:rPr>
          <w:rFonts w:cstheme="minorHAnsi"/>
          <w:bCs/>
        </w:rPr>
        <w:t xml:space="preserve">, Mayıs ayında artan iç ve dış riskler ile 500 </w:t>
      </w:r>
      <w:proofErr w:type="gramStart"/>
      <w:r w:rsidRPr="009F344D">
        <w:rPr>
          <w:rFonts w:cstheme="minorHAnsi"/>
          <w:bCs/>
        </w:rPr>
        <w:t>baz</w:t>
      </w:r>
      <w:proofErr w:type="gramEnd"/>
      <w:r w:rsidRPr="009F344D">
        <w:rPr>
          <w:rFonts w:cstheme="minorHAnsi"/>
          <w:bCs/>
        </w:rPr>
        <w:t xml:space="preserve"> puan</w:t>
      </w:r>
      <w:r>
        <w:rPr>
          <w:rFonts w:cstheme="minorHAnsi"/>
          <w:bCs/>
        </w:rPr>
        <w:t>a kadar yükselmiş, yerel seçimlerin geride bırakılmasıyla T</w:t>
      </w:r>
      <w:r w:rsidRPr="009F344D">
        <w:rPr>
          <w:rFonts w:cstheme="minorHAnsi"/>
          <w:bCs/>
        </w:rPr>
        <w:t xml:space="preserve">emmuz itibariyle </w:t>
      </w:r>
      <w:r>
        <w:rPr>
          <w:rFonts w:cstheme="minorHAnsi"/>
          <w:bCs/>
        </w:rPr>
        <w:t xml:space="preserve">de </w:t>
      </w:r>
      <w:r w:rsidRPr="009F344D">
        <w:rPr>
          <w:rFonts w:cstheme="minorHAnsi"/>
          <w:bCs/>
        </w:rPr>
        <w:t>371 puan seviyelerine gerile</w:t>
      </w:r>
      <w:r>
        <w:rPr>
          <w:rFonts w:cstheme="minorHAnsi"/>
          <w:bCs/>
        </w:rPr>
        <w:t xml:space="preserve">mişti. Geçtiğimiz çeyrek dönemde </w:t>
      </w:r>
      <w:r w:rsidR="00CE5CA2">
        <w:rPr>
          <w:rFonts w:cstheme="minorHAnsi"/>
          <w:bCs/>
        </w:rPr>
        <w:t xml:space="preserve">bir miktar düşse de </w:t>
      </w:r>
      <w:proofErr w:type="spellStart"/>
      <w:r w:rsidR="006D5388">
        <w:rPr>
          <w:rFonts w:cstheme="minorHAnsi"/>
          <w:bCs/>
        </w:rPr>
        <w:t>CDS’in</w:t>
      </w:r>
      <w:proofErr w:type="spellEnd"/>
      <w:r w:rsidR="00CE5CA2">
        <w:rPr>
          <w:rFonts w:cstheme="minorHAnsi"/>
          <w:bCs/>
        </w:rPr>
        <w:t xml:space="preserve"> 350 seviye</w:t>
      </w:r>
      <w:r w:rsidR="00492AE2">
        <w:rPr>
          <w:rFonts w:cstheme="minorHAnsi"/>
          <w:bCs/>
        </w:rPr>
        <w:t>ler</w:t>
      </w:r>
      <w:r w:rsidR="00CE5CA2">
        <w:rPr>
          <w:rFonts w:cstheme="minorHAnsi"/>
          <w:bCs/>
        </w:rPr>
        <w:t xml:space="preserve">inde </w:t>
      </w:r>
      <w:r w:rsidR="006D5388">
        <w:rPr>
          <w:rFonts w:cstheme="minorHAnsi"/>
          <w:bCs/>
        </w:rPr>
        <w:t>seyretmesi Türkiye ekonomisine yönelik temkinli algıyı ortaya koyarak sermaye hareketlerini olumsuz etkilemektedir.</w:t>
      </w:r>
    </w:p>
    <w:p w:rsidR="00402F30" w:rsidRDefault="00402F30" w:rsidP="00CE5CA2">
      <w:pPr>
        <w:spacing w:after="0" w:line="240" w:lineRule="auto"/>
        <w:jc w:val="both"/>
        <w:rPr>
          <w:rFonts w:cstheme="minorHAnsi"/>
          <w:bCs/>
        </w:rPr>
      </w:pPr>
    </w:p>
    <w:p w:rsidR="001879B9" w:rsidRDefault="001879B9" w:rsidP="0081542D">
      <w:pPr>
        <w:pStyle w:val="NormalWeb"/>
        <w:spacing w:before="0" w:beforeAutospacing="0" w:after="0" w:afterAutospacing="0"/>
        <w:jc w:val="both"/>
        <w:rPr>
          <w:rFonts w:asciiTheme="minorHAnsi" w:hAnsiTheme="minorHAnsi" w:cs="Calibri"/>
          <w:b/>
          <w:color w:val="632423"/>
          <w:sz w:val="32"/>
          <w:szCs w:val="32"/>
        </w:rPr>
      </w:pPr>
    </w:p>
    <w:p w:rsidR="001879B9" w:rsidRDefault="001879B9" w:rsidP="0081542D">
      <w:pPr>
        <w:pStyle w:val="NormalWeb"/>
        <w:spacing w:before="0" w:beforeAutospacing="0" w:after="0" w:afterAutospacing="0"/>
        <w:jc w:val="both"/>
        <w:rPr>
          <w:rFonts w:asciiTheme="minorHAnsi" w:hAnsiTheme="minorHAnsi" w:cs="Calibri"/>
          <w:b/>
          <w:color w:val="632423"/>
          <w:sz w:val="32"/>
          <w:szCs w:val="32"/>
        </w:rPr>
      </w:pPr>
    </w:p>
    <w:p w:rsidR="001879B9" w:rsidRDefault="001879B9" w:rsidP="0081542D">
      <w:pPr>
        <w:pStyle w:val="NormalWeb"/>
        <w:spacing w:before="0" w:beforeAutospacing="0" w:after="0" w:afterAutospacing="0"/>
        <w:jc w:val="both"/>
        <w:rPr>
          <w:rFonts w:asciiTheme="minorHAnsi" w:hAnsiTheme="minorHAnsi" w:cs="Calibri"/>
          <w:b/>
          <w:color w:val="632423"/>
          <w:sz w:val="32"/>
          <w:szCs w:val="32"/>
        </w:rPr>
      </w:pPr>
    </w:p>
    <w:p w:rsidR="001879B9" w:rsidRDefault="001879B9" w:rsidP="0081542D">
      <w:pPr>
        <w:pStyle w:val="NormalWeb"/>
        <w:spacing w:before="0" w:beforeAutospacing="0" w:after="0" w:afterAutospacing="0"/>
        <w:jc w:val="both"/>
        <w:rPr>
          <w:rFonts w:asciiTheme="minorHAnsi" w:hAnsiTheme="minorHAnsi" w:cs="Calibri"/>
          <w:b/>
          <w:color w:val="632423"/>
          <w:sz w:val="32"/>
          <w:szCs w:val="32"/>
        </w:rPr>
      </w:pPr>
    </w:p>
    <w:p w:rsidR="001879B9" w:rsidRDefault="001879B9" w:rsidP="0081542D">
      <w:pPr>
        <w:pStyle w:val="NormalWeb"/>
        <w:spacing w:before="0" w:beforeAutospacing="0" w:after="0" w:afterAutospacing="0"/>
        <w:jc w:val="both"/>
        <w:rPr>
          <w:rFonts w:asciiTheme="minorHAnsi" w:hAnsiTheme="minorHAnsi" w:cs="Calibri"/>
          <w:b/>
          <w:color w:val="632423"/>
          <w:sz w:val="32"/>
          <w:szCs w:val="32"/>
        </w:rPr>
      </w:pPr>
    </w:p>
    <w:p w:rsidR="0081542D" w:rsidRDefault="0081542D" w:rsidP="0081542D">
      <w:pPr>
        <w:pStyle w:val="NormalWeb"/>
        <w:spacing w:before="0" w:beforeAutospacing="0" w:after="0" w:afterAutospacing="0"/>
        <w:jc w:val="both"/>
        <w:rPr>
          <w:rFonts w:asciiTheme="minorHAnsi" w:hAnsiTheme="minorHAnsi" w:cstheme="minorHAnsi"/>
          <w:sz w:val="22"/>
          <w:szCs w:val="22"/>
        </w:rPr>
      </w:pPr>
      <w:r>
        <w:rPr>
          <w:rFonts w:asciiTheme="minorHAnsi" w:hAnsiTheme="minorHAnsi" w:cs="Calibri"/>
          <w:b/>
          <w:color w:val="632423"/>
          <w:sz w:val="32"/>
          <w:szCs w:val="32"/>
        </w:rPr>
        <w:lastRenderedPageBreak/>
        <w:t xml:space="preserve">İNŞAAT SEKTÖRÜ </w:t>
      </w:r>
      <w:r>
        <w:rPr>
          <w:rFonts w:asciiTheme="minorHAnsi" w:hAnsiTheme="minorHAnsi" w:cs="Calibri"/>
          <w:b/>
          <w:color w:val="632423"/>
          <w:sz w:val="32"/>
          <w:szCs w:val="32"/>
        </w:rPr>
        <w:tab/>
      </w:r>
      <w:r>
        <w:rPr>
          <w:rFonts w:cs="Calibri"/>
          <w:b/>
          <w:color w:val="632423"/>
          <w:sz w:val="32"/>
          <w:szCs w:val="32"/>
        </w:rPr>
        <w:tab/>
      </w:r>
      <w:r>
        <w:rPr>
          <w:rFonts w:cs="Calibri"/>
          <w:b/>
          <w:color w:val="632423"/>
          <w:sz w:val="32"/>
          <w:szCs w:val="32"/>
        </w:rPr>
        <w:tab/>
      </w:r>
      <w:r>
        <w:rPr>
          <w:rFonts w:asciiTheme="minorHAnsi" w:hAnsiTheme="minorHAnsi" w:cstheme="minorHAnsi"/>
          <w:b/>
          <w:i/>
          <w:color w:val="632423"/>
        </w:rPr>
        <w:t xml:space="preserve">                                </w:t>
      </w:r>
    </w:p>
    <w:p w:rsidR="0081542D" w:rsidRDefault="0081542D" w:rsidP="0081542D">
      <w:pPr>
        <w:autoSpaceDE w:val="0"/>
        <w:autoSpaceDN w:val="0"/>
        <w:adjustRightInd w:val="0"/>
        <w:spacing w:after="0" w:line="240" w:lineRule="auto"/>
        <w:jc w:val="both"/>
        <w:rPr>
          <w:rFonts w:eastAsia="Times New Roman" w:cs="Calibri"/>
          <w:b/>
          <w:i/>
          <w:color w:val="632423"/>
          <w:sz w:val="24"/>
          <w:szCs w:val="24"/>
        </w:rPr>
      </w:pPr>
      <w:r>
        <w:rPr>
          <w:rFonts w:eastAsia="Times New Roman" w:cs="Calibri"/>
          <w:b/>
          <w:i/>
          <w:color w:val="632423"/>
          <w:sz w:val="24"/>
          <w:szCs w:val="24"/>
        </w:rPr>
        <w:t>2019 Yılı Beklenenden Zor Geçiyor</w:t>
      </w:r>
    </w:p>
    <w:p w:rsidR="0081542D" w:rsidRDefault="0081542D" w:rsidP="0081542D">
      <w:pPr>
        <w:autoSpaceDE w:val="0"/>
        <w:autoSpaceDN w:val="0"/>
        <w:adjustRightInd w:val="0"/>
        <w:spacing w:after="0" w:line="240" w:lineRule="auto"/>
        <w:jc w:val="both"/>
        <w:rPr>
          <w:rFonts w:cstheme="minorHAnsi"/>
          <w:bCs/>
        </w:rPr>
      </w:pPr>
    </w:p>
    <w:p w:rsidR="0081542D" w:rsidRDefault="005E54D7" w:rsidP="0081542D">
      <w:pPr>
        <w:autoSpaceDE w:val="0"/>
        <w:autoSpaceDN w:val="0"/>
        <w:adjustRightInd w:val="0"/>
        <w:spacing w:after="0" w:line="240" w:lineRule="auto"/>
        <w:jc w:val="both"/>
        <w:rPr>
          <w:rFonts w:cstheme="minorHAnsi"/>
          <w:bCs/>
        </w:rPr>
      </w:pPr>
      <w:r>
        <w:rPr>
          <w:rFonts w:cstheme="minorHAnsi"/>
          <w:bCs/>
        </w:rPr>
        <w:t xml:space="preserve">İki yüzü </w:t>
      </w:r>
      <w:r w:rsidR="0081542D">
        <w:rPr>
          <w:rFonts w:cstheme="minorHAnsi"/>
          <w:bCs/>
        </w:rPr>
        <w:t xml:space="preserve">aşkın alt sektöre </w:t>
      </w:r>
      <w:r w:rsidR="0081542D">
        <w:t xml:space="preserve">talep yaratarak ekonominin lokomotifi olma özelliği taşıyan </w:t>
      </w:r>
      <w:r w:rsidR="0081542D">
        <w:rPr>
          <w:rFonts w:cstheme="minorHAnsi"/>
          <w:bCs/>
        </w:rPr>
        <w:t>inşaat sektörü,  son beş çeyrekte daralmayı sürdürmüştür. Sektörde mali yapılarda bozulma, finansman sıkıntısı ve talep daralması ile oluşan arz - talep dengesizliğinin etkisi geçtiğimiz dönemde de devam etmiştir.</w:t>
      </w:r>
    </w:p>
    <w:p w:rsidR="00A51CDF" w:rsidRDefault="00A51CDF" w:rsidP="00457297">
      <w:pPr>
        <w:autoSpaceDE w:val="0"/>
        <w:autoSpaceDN w:val="0"/>
        <w:adjustRightInd w:val="0"/>
        <w:spacing w:after="0" w:line="240" w:lineRule="auto"/>
        <w:jc w:val="both"/>
      </w:pPr>
    </w:p>
    <w:p w:rsidR="00FC5D9B" w:rsidRPr="00FC5D9B" w:rsidRDefault="00FC5D9B" w:rsidP="00457297">
      <w:pPr>
        <w:autoSpaceDE w:val="0"/>
        <w:autoSpaceDN w:val="0"/>
        <w:adjustRightInd w:val="0"/>
        <w:spacing w:after="0" w:line="240" w:lineRule="auto"/>
        <w:jc w:val="both"/>
        <w:rPr>
          <w:b/>
        </w:rPr>
      </w:pPr>
      <w:r>
        <w:rPr>
          <w:b/>
        </w:rPr>
        <w:t xml:space="preserve">GSYH, İnşaat Sektörü ve Gayrimenkul Faaliyetlerinde </w:t>
      </w:r>
      <w:r w:rsidRPr="00FC5D9B">
        <w:rPr>
          <w:b/>
        </w:rPr>
        <w:t>Büyüme</w:t>
      </w:r>
      <w:r>
        <w:rPr>
          <w:b/>
        </w:rPr>
        <w:t>nin</w:t>
      </w:r>
      <w:r w:rsidRPr="00FC5D9B">
        <w:rPr>
          <w:b/>
        </w:rPr>
        <w:t xml:space="preserve"> </w:t>
      </w:r>
      <w:r>
        <w:rPr>
          <w:b/>
        </w:rPr>
        <w:t>Seyri</w:t>
      </w:r>
    </w:p>
    <w:p w:rsidR="00FC5D9B" w:rsidRPr="00FC5D9B" w:rsidRDefault="001541EF" w:rsidP="00457297">
      <w:pPr>
        <w:autoSpaceDE w:val="0"/>
        <w:autoSpaceDN w:val="0"/>
        <w:adjustRightInd w:val="0"/>
        <w:spacing w:after="0" w:line="240" w:lineRule="auto"/>
        <w:jc w:val="both"/>
        <w:rPr>
          <w:b/>
        </w:rPr>
      </w:pPr>
      <w:r>
        <w:rPr>
          <w:b/>
        </w:rPr>
        <w:t>(</w:t>
      </w:r>
      <w:r w:rsidR="00FC5D9B" w:rsidRPr="00FC5D9B">
        <w:rPr>
          <w:b/>
        </w:rPr>
        <w:t>%</w:t>
      </w:r>
      <w:r>
        <w:rPr>
          <w:b/>
        </w:rPr>
        <w:t xml:space="preserve"> puan)</w:t>
      </w:r>
    </w:p>
    <w:p w:rsidR="0081542D" w:rsidRDefault="0081542D" w:rsidP="0081542D">
      <w:pPr>
        <w:autoSpaceDE w:val="0"/>
        <w:autoSpaceDN w:val="0"/>
        <w:adjustRightInd w:val="0"/>
        <w:spacing w:after="0" w:line="240" w:lineRule="auto"/>
        <w:jc w:val="both"/>
        <w:rPr>
          <w:rFonts w:cstheme="minorHAnsi"/>
        </w:rPr>
      </w:pPr>
    </w:p>
    <w:p w:rsidR="00FC5D9B" w:rsidRDefault="00FC5D9B" w:rsidP="0081542D">
      <w:pPr>
        <w:autoSpaceDE w:val="0"/>
        <w:autoSpaceDN w:val="0"/>
        <w:adjustRightInd w:val="0"/>
        <w:spacing w:after="0" w:line="240" w:lineRule="auto"/>
        <w:jc w:val="both"/>
        <w:rPr>
          <w:rFonts w:cstheme="minorHAnsi"/>
        </w:rPr>
      </w:pPr>
      <w:r>
        <w:rPr>
          <w:rFonts w:cstheme="minorHAnsi"/>
          <w:noProof/>
        </w:rPr>
        <w:drawing>
          <wp:inline distT="0" distB="0" distL="0" distR="0">
            <wp:extent cx="6158322" cy="2646294"/>
            <wp:effectExtent l="1905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63214" cy="2648396"/>
                    </a:xfrm>
                    <a:prstGeom prst="rect">
                      <a:avLst/>
                    </a:prstGeom>
                    <a:noFill/>
                  </pic:spPr>
                </pic:pic>
              </a:graphicData>
            </a:graphic>
          </wp:inline>
        </w:drawing>
      </w:r>
    </w:p>
    <w:p w:rsidR="00FC5D9B" w:rsidRDefault="00FC5D9B" w:rsidP="0081542D">
      <w:pPr>
        <w:autoSpaceDE w:val="0"/>
        <w:autoSpaceDN w:val="0"/>
        <w:adjustRightInd w:val="0"/>
        <w:spacing w:after="0" w:line="240" w:lineRule="auto"/>
        <w:jc w:val="both"/>
        <w:rPr>
          <w:rFonts w:cstheme="minorHAnsi"/>
        </w:rPr>
      </w:pPr>
    </w:p>
    <w:p w:rsidR="00FC5D9B" w:rsidRPr="00FC5D9B" w:rsidRDefault="00FC5D9B" w:rsidP="0081542D">
      <w:pPr>
        <w:autoSpaceDE w:val="0"/>
        <w:autoSpaceDN w:val="0"/>
        <w:adjustRightInd w:val="0"/>
        <w:spacing w:after="0" w:line="240" w:lineRule="auto"/>
        <w:jc w:val="both"/>
        <w:rPr>
          <w:rFonts w:cstheme="minorHAnsi"/>
          <w:b/>
          <w:i/>
          <w:sz w:val="20"/>
          <w:szCs w:val="20"/>
        </w:rPr>
      </w:pPr>
      <w:r w:rsidRPr="00FC5D9B">
        <w:rPr>
          <w:rFonts w:cstheme="minorHAnsi"/>
          <w:b/>
          <w:i/>
          <w:sz w:val="20"/>
          <w:szCs w:val="20"/>
        </w:rPr>
        <w:t>Kaynak: TÜİK</w:t>
      </w:r>
    </w:p>
    <w:p w:rsidR="00FC5D9B" w:rsidRDefault="00FC5D9B" w:rsidP="0081542D">
      <w:pPr>
        <w:autoSpaceDE w:val="0"/>
        <w:autoSpaceDN w:val="0"/>
        <w:adjustRightInd w:val="0"/>
        <w:spacing w:after="0" w:line="240" w:lineRule="auto"/>
        <w:jc w:val="both"/>
        <w:rPr>
          <w:rFonts w:cstheme="minorHAnsi"/>
        </w:rPr>
      </w:pPr>
    </w:p>
    <w:p w:rsidR="00402F30" w:rsidRDefault="00402F30" w:rsidP="00402F30">
      <w:pPr>
        <w:autoSpaceDE w:val="0"/>
        <w:autoSpaceDN w:val="0"/>
        <w:adjustRightInd w:val="0"/>
        <w:spacing w:after="0" w:line="240" w:lineRule="auto"/>
        <w:jc w:val="both"/>
      </w:pPr>
      <w:r>
        <w:t>TÜİK verileri yaşanan daralmayı net biçimde göstermektedir. Z</w:t>
      </w:r>
      <w:r>
        <w:rPr>
          <w:rFonts w:cstheme="minorHAnsi"/>
          <w:bCs/>
          <w:color w:val="000000"/>
        </w:rPr>
        <w:t>i</w:t>
      </w:r>
      <w:r w:rsidR="00492AE2">
        <w:rPr>
          <w:rFonts w:cstheme="minorHAnsi"/>
          <w:bCs/>
          <w:color w:val="000000"/>
        </w:rPr>
        <w:t>ncirlenmiş hacim endeksine göre;</w:t>
      </w:r>
      <w:r>
        <w:rPr>
          <w:rFonts w:cstheme="minorHAnsi"/>
          <w:bCs/>
          <w:color w:val="000000"/>
        </w:rPr>
        <w:t xml:space="preserve"> </w:t>
      </w:r>
      <w:r>
        <w:t>GSYH 2018 yılında %2,</w:t>
      </w:r>
      <w:r w:rsidR="00492AE2">
        <w:t>8</w:t>
      </w:r>
      <w:r>
        <w:t xml:space="preserve"> büyüme gösterirken, inşaat sektöründe %2,1 daralma yaşanmıştır. Bu</w:t>
      </w:r>
      <w:r w:rsidR="008211C8">
        <w:t xml:space="preserve"> yılın ilk çeyreğinde GSYH %2,4,</w:t>
      </w:r>
      <w:r>
        <w:t xml:space="preserve"> inşaat sektörü ise %9,3 küçülme göstermiştir. İkinci çeyrekte ise Türkiye ekonomisi %1,5 daralırken, inşaat sektörü %12,7 küçülmüştür. Böylece 2019 yılının ilk yarısında genel ekonomi %1,9;  inşaat sektörü %11 oranında daralmıştır.</w:t>
      </w:r>
    </w:p>
    <w:p w:rsidR="00402F30" w:rsidRDefault="00402F30" w:rsidP="0081542D">
      <w:pPr>
        <w:autoSpaceDE w:val="0"/>
        <w:autoSpaceDN w:val="0"/>
        <w:adjustRightInd w:val="0"/>
        <w:spacing w:after="0" w:line="240" w:lineRule="auto"/>
        <w:jc w:val="both"/>
        <w:rPr>
          <w:rFonts w:cstheme="minorHAnsi"/>
        </w:rPr>
      </w:pPr>
    </w:p>
    <w:p w:rsidR="0081542D" w:rsidRDefault="0081542D" w:rsidP="0081542D">
      <w:pPr>
        <w:autoSpaceDE w:val="0"/>
        <w:autoSpaceDN w:val="0"/>
        <w:adjustRightInd w:val="0"/>
        <w:spacing w:after="0" w:line="240" w:lineRule="auto"/>
        <w:jc w:val="both"/>
      </w:pPr>
      <w:r>
        <w:rPr>
          <w:rFonts w:cstheme="minorHAnsi"/>
        </w:rPr>
        <w:t>İnşaat harcamaları</w:t>
      </w:r>
      <w:r w:rsidR="00AC67B5">
        <w:rPr>
          <w:rFonts w:cstheme="minorHAnsi"/>
        </w:rPr>
        <w:t>,</w:t>
      </w:r>
      <w:r>
        <w:rPr>
          <w:rFonts w:cstheme="minorHAnsi"/>
        </w:rPr>
        <w:t xml:space="preserve"> 2018 yılının son iki çeyreğinde gerileme eğilimine girmiştir. </w:t>
      </w:r>
      <w:r w:rsidRPr="009C547F">
        <w:rPr>
          <w:rFonts w:cstheme="minorHAnsi"/>
        </w:rPr>
        <w:t>Özel sektör yatırımları ve büyük ölçekli kamu - özel ortaklığı projelerinde de finansman sorunları geçtiğimiz dönemde artmıştır. B</w:t>
      </w:r>
      <w:r w:rsidRPr="009C547F">
        <w:t>ina yapı ruhsatlarında</w:t>
      </w:r>
      <w:r>
        <w:t xml:space="preserve"> görülen</w:t>
      </w:r>
      <w:r w:rsidRPr="009C547F">
        <w:t xml:space="preserve"> daralma da </w:t>
      </w:r>
      <w:r>
        <w:t xml:space="preserve">özel sektörde </w:t>
      </w:r>
      <w:r w:rsidRPr="009C547F">
        <w:t>yeni inşaatlardaki gerilemeye işaret etmektedir.</w:t>
      </w:r>
      <w:r>
        <w:t xml:space="preserve"> </w:t>
      </w:r>
      <w:r>
        <w:rPr>
          <w:rFonts w:cstheme="minorHAnsi"/>
        </w:rPr>
        <w:t>2019 yılında da hükümet tarafından bütçe olanakları dikkate alınarak inşaat yatırımlarında tasarrufa gidilmiştir. Bu çerçevede y</w:t>
      </w:r>
      <w:r>
        <w:t xml:space="preserve">ılın ilk çeyreğinde inşaat yatırımları yıllık </w:t>
      </w:r>
      <w:proofErr w:type="gramStart"/>
      <w:r>
        <w:t>bazda</w:t>
      </w:r>
      <w:proofErr w:type="gramEnd"/>
      <w:r>
        <w:t xml:space="preserve"> %16 oranında daralarak 2009 bazlı serinin en hızlı yıllık gerilemesini görmüştür. Yılın ilk yarısında yatırımlar geçen yılın aynı dönemine oranla %10 azalarak 284,1 milyar TL olarak gerçekleşmiştir. </w:t>
      </w:r>
    </w:p>
    <w:p w:rsidR="0081542D" w:rsidRDefault="0081542D" w:rsidP="0081542D">
      <w:pPr>
        <w:autoSpaceDE w:val="0"/>
        <w:autoSpaceDN w:val="0"/>
        <w:adjustRightInd w:val="0"/>
        <w:spacing w:after="0" w:line="240" w:lineRule="auto"/>
        <w:jc w:val="both"/>
      </w:pPr>
    </w:p>
    <w:p w:rsidR="0081542D" w:rsidRPr="00DD7E0B" w:rsidRDefault="0081542D" w:rsidP="0081542D">
      <w:pPr>
        <w:autoSpaceDE w:val="0"/>
        <w:autoSpaceDN w:val="0"/>
        <w:adjustRightInd w:val="0"/>
        <w:spacing w:after="0" w:line="240" w:lineRule="auto"/>
        <w:jc w:val="both"/>
      </w:pPr>
      <w:r>
        <w:t>K</w:t>
      </w:r>
      <w:r>
        <w:rPr>
          <w:rFonts w:cstheme="minorHAnsi"/>
        </w:rPr>
        <w:t xml:space="preserve">amu harcamalarında yapılan tasarrufun yanı sıra </w:t>
      </w:r>
      <w:proofErr w:type="spellStart"/>
      <w:r>
        <w:rPr>
          <w:rFonts w:cstheme="minorHAnsi"/>
        </w:rPr>
        <w:t>önceliklendirme</w:t>
      </w:r>
      <w:proofErr w:type="spellEnd"/>
      <w:r>
        <w:rPr>
          <w:rFonts w:cstheme="minorHAnsi"/>
        </w:rPr>
        <w:t xml:space="preserve"> kapsamında yeni başlanmış birçok projeye, </w:t>
      </w:r>
      <w:r w:rsidRPr="009C547F">
        <w:rPr>
          <w:rFonts w:cstheme="minorHAnsi"/>
        </w:rPr>
        <w:t xml:space="preserve">sözleşmesinde öngörülenden az ödenek ayrılması da </w:t>
      </w:r>
      <w:proofErr w:type="gramStart"/>
      <w:r w:rsidRPr="009C547F">
        <w:rPr>
          <w:rFonts w:cstheme="minorHAnsi"/>
        </w:rPr>
        <w:t>müteahhitleri</w:t>
      </w:r>
      <w:proofErr w:type="gramEnd"/>
      <w:r w:rsidRPr="009C547F">
        <w:rPr>
          <w:rFonts w:cstheme="minorHAnsi"/>
        </w:rPr>
        <w:t xml:space="preserve"> zor durumda bırakmıştır.</w:t>
      </w:r>
    </w:p>
    <w:p w:rsidR="0081542D" w:rsidRDefault="0081542D" w:rsidP="0081542D">
      <w:pPr>
        <w:autoSpaceDE w:val="0"/>
        <w:autoSpaceDN w:val="0"/>
        <w:adjustRightInd w:val="0"/>
        <w:spacing w:after="0" w:line="240" w:lineRule="auto"/>
        <w:jc w:val="both"/>
        <w:rPr>
          <w:rFonts w:cstheme="minorHAnsi"/>
        </w:rPr>
      </w:pPr>
    </w:p>
    <w:p w:rsidR="0081542D" w:rsidRDefault="0081542D" w:rsidP="0081542D">
      <w:pPr>
        <w:autoSpaceDE w:val="0"/>
        <w:autoSpaceDN w:val="0"/>
        <w:adjustRightInd w:val="0"/>
        <w:spacing w:after="0" w:line="240" w:lineRule="auto"/>
        <w:jc w:val="both"/>
        <w:rPr>
          <w:rFonts w:cstheme="minorHAnsi"/>
          <w:bCs/>
        </w:rPr>
      </w:pPr>
      <w:r>
        <w:rPr>
          <w:rFonts w:cstheme="minorHAnsi"/>
          <w:bCs/>
        </w:rPr>
        <w:t xml:space="preserve">Sektörde özellikle geçen yıl gerçekleşen kur yükselişine bağlı öngörülemeyen maliyet artışlarının yaşanmasıyla işleri durma noktasına gelen ve iflasa sürüklenen yükleniciler için Ocak 2019’da tasfiye/devir/süre uzatımı düzenlemesi yapılmıştır. Daha önceki benzer uygulamalardan farklı olarak, bu kez işveren idarelere yapılan başvuruların değerlendirilmesinde Hazine ve Maliye Bakanlığı’nın görüşünün alınması şartı getirilmiştir. Bu çerçevede Bakanlığa iletilmiş toplam sözleşme tutarı 170 milyar TL olan 6 bine yakın dosyanın başvuruları Temmuz ayı içinde sonuçlandırılmıştır. </w:t>
      </w:r>
    </w:p>
    <w:p w:rsidR="0081542D" w:rsidRDefault="0081542D" w:rsidP="0081542D">
      <w:pPr>
        <w:autoSpaceDE w:val="0"/>
        <w:autoSpaceDN w:val="0"/>
        <w:adjustRightInd w:val="0"/>
        <w:spacing w:after="0" w:line="240" w:lineRule="auto"/>
        <w:jc w:val="both"/>
      </w:pPr>
    </w:p>
    <w:p w:rsidR="0081542D" w:rsidRPr="005B119A" w:rsidRDefault="0081542D" w:rsidP="0081542D">
      <w:pPr>
        <w:autoSpaceDE w:val="0"/>
        <w:autoSpaceDN w:val="0"/>
        <w:adjustRightInd w:val="0"/>
        <w:spacing w:after="0" w:line="240" w:lineRule="auto"/>
        <w:jc w:val="both"/>
      </w:pPr>
      <w:r w:rsidRPr="005B119A">
        <w:t>Girdi maliyetlerindeki öngörülmesi mümkün olmayan yüksek artışlar yaşanmış olduğu kamu yönetimi tarafından dikkate alınarak getirilmiş olan düzenleme kapsamında yapılan tasfiye başvurularının büyük bir çoğunluğunun kabul edilmemiş olması, sektör temsilcileri tarafından sektörde yaşanan sorunların aşılamadığı şeklinde değerlendirilmektedir. Tasfiyesi kabul edilmeyen işler için bir fiyat farkı düzenlenmesi yapılmasının adil bir yaklaşım olacağı belirtilmektedir.</w:t>
      </w:r>
    </w:p>
    <w:p w:rsidR="0081542D" w:rsidRDefault="0081542D" w:rsidP="0081542D">
      <w:pPr>
        <w:autoSpaceDE w:val="0"/>
        <w:autoSpaceDN w:val="0"/>
        <w:adjustRightInd w:val="0"/>
        <w:spacing w:after="0" w:line="240" w:lineRule="auto"/>
        <w:jc w:val="both"/>
        <w:rPr>
          <w:highlight w:val="green"/>
        </w:rPr>
      </w:pPr>
    </w:p>
    <w:p w:rsidR="0081542D" w:rsidRDefault="0081542D" w:rsidP="0081542D">
      <w:pPr>
        <w:autoSpaceDE w:val="0"/>
        <w:autoSpaceDN w:val="0"/>
        <w:adjustRightInd w:val="0"/>
        <w:spacing w:after="0" w:line="240" w:lineRule="auto"/>
        <w:jc w:val="both"/>
      </w:pPr>
      <w:r>
        <w:t>Müteahhitler tarafından k</w:t>
      </w:r>
      <w:r>
        <w:rPr>
          <w:rFonts w:cstheme="minorHAnsi"/>
          <w:bCs/>
        </w:rPr>
        <w:t xml:space="preserve">amuya yapılan işlerin bir kısmının sözleşmesinde hiçbir fiyat farkı ödemesi öngörülmezken, birçok sözleşmede fiyat farkı hesap yönteminin TEFE ve TÜFE genel endeksleri ile ilişkilendirilmiş olması uzun zamandır sıkıntı kaynağıdır. Oysa son yıllarda inşaat sektörünün temel girdi </w:t>
      </w:r>
      <w:r w:rsidRPr="005B119A">
        <w:rPr>
          <w:rFonts w:cstheme="minorHAnsi"/>
          <w:bCs/>
        </w:rPr>
        <w:t xml:space="preserve">malzemelerinde TEFE ve TÜFE oranlarından çok daha yüksek fiyat artışları yaşanmıştır. Bu çerçevede, geçmiş dönemlerde de </w:t>
      </w:r>
      <w:r w:rsidR="005E54D7" w:rsidRPr="005B119A">
        <w:rPr>
          <w:rFonts w:cstheme="minorHAnsi"/>
          <w:bCs/>
        </w:rPr>
        <w:t>birçok</w:t>
      </w:r>
      <w:r w:rsidRPr="005B119A">
        <w:rPr>
          <w:rFonts w:cstheme="minorHAnsi"/>
          <w:bCs/>
        </w:rPr>
        <w:t xml:space="preserve"> kez karşılaşılmış olan benzer</w:t>
      </w:r>
      <w:r>
        <w:rPr>
          <w:rFonts w:cstheme="minorHAnsi"/>
          <w:bCs/>
        </w:rPr>
        <w:t xml:space="preserve"> sıkıntıların bir daha yaşanmaması için önümüzdeki döneme yönelik olarak; hem idareleri hem firmaları mağdur etmeyecek, piyasadaki fiyat dalgalanmalarını adil biçimde yansıtacak gerçekçi bir fiyat farkı hesap yöntemi belirlenmesi sektörün öncelikli talepleri arasında yer almaktadır.</w:t>
      </w:r>
      <w:r>
        <w:t xml:space="preserve"> </w:t>
      </w:r>
    </w:p>
    <w:p w:rsidR="00402F30" w:rsidRDefault="00402F30" w:rsidP="0081542D">
      <w:pPr>
        <w:autoSpaceDE w:val="0"/>
        <w:autoSpaceDN w:val="0"/>
        <w:adjustRightInd w:val="0"/>
        <w:spacing w:after="0" w:line="240" w:lineRule="auto"/>
        <w:jc w:val="both"/>
      </w:pPr>
    </w:p>
    <w:p w:rsidR="00A51CDF" w:rsidRDefault="00A51CDF" w:rsidP="00A51CDF">
      <w:pPr>
        <w:spacing w:after="0" w:line="240" w:lineRule="auto"/>
        <w:jc w:val="both"/>
        <w:rPr>
          <w:rFonts w:ascii="Calibri" w:eastAsia="Times New Roman" w:hAnsi="Calibri" w:cs="Calibri"/>
          <w:b/>
          <w:bCs/>
          <w:color w:val="000000"/>
        </w:rPr>
      </w:pPr>
      <w:r>
        <w:rPr>
          <w:rFonts w:ascii="Calibri" w:eastAsia="Times New Roman" w:hAnsi="Calibri" w:cs="Calibri"/>
          <w:b/>
          <w:bCs/>
          <w:color w:val="000000"/>
        </w:rPr>
        <w:t xml:space="preserve">İnşaat Sektörü Temel Göstergeler </w:t>
      </w:r>
    </w:p>
    <w:p w:rsidR="00A51CDF" w:rsidRDefault="00A51CDF" w:rsidP="00A51CDF">
      <w:pPr>
        <w:spacing w:after="0" w:line="240" w:lineRule="auto"/>
        <w:jc w:val="both"/>
        <w:rPr>
          <w:rFonts w:ascii="Calibri" w:eastAsia="Times New Roman" w:hAnsi="Calibri" w:cs="Calibri"/>
          <w:b/>
          <w:bCs/>
          <w:color w:val="000000"/>
        </w:rPr>
      </w:pPr>
    </w:p>
    <w:p w:rsidR="00A51CDF" w:rsidRDefault="00A51CDF" w:rsidP="00A51CDF">
      <w:pPr>
        <w:autoSpaceDE w:val="0"/>
        <w:autoSpaceDN w:val="0"/>
        <w:adjustRightInd w:val="0"/>
        <w:spacing w:after="0" w:line="240" w:lineRule="auto"/>
        <w:jc w:val="both"/>
      </w:pPr>
      <w:r>
        <w:rPr>
          <w:noProof/>
        </w:rPr>
        <w:drawing>
          <wp:inline distT="0" distB="0" distL="0" distR="0">
            <wp:extent cx="4720004" cy="1681942"/>
            <wp:effectExtent l="19050" t="0" r="4396"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cstate="print"/>
                    <a:srcRect/>
                    <a:stretch>
                      <a:fillRect/>
                    </a:stretch>
                  </pic:blipFill>
                  <pic:spPr bwMode="auto">
                    <a:xfrm>
                      <a:off x="0" y="0"/>
                      <a:ext cx="4722814" cy="1682943"/>
                    </a:xfrm>
                    <a:prstGeom prst="rect">
                      <a:avLst/>
                    </a:prstGeom>
                    <a:noFill/>
                    <a:ln w="9525">
                      <a:noFill/>
                      <a:miter lim="800000"/>
                      <a:headEnd/>
                      <a:tailEnd/>
                    </a:ln>
                  </pic:spPr>
                </pic:pic>
              </a:graphicData>
            </a:graphic>
          </wp:inline>
        </w:drawing>
      </w:r>
    </w:p>
    <w:p w:rsidR="00A51CDF" w:rsidRDefault="00A51CDF" w:rsidP="00A51CDF">
      <w:pPr>
        <w:spacing w:after="0" w:line="240" w:lineRule="auto"/>
        <w:jc w:val="both"/>
        <w:rPr>
          <w:rFonts w:ascii="Calibri" w:eastAsia="Times New Roman" w:hAnsi="Calibri" w:cs="Calibri"/>
          <w:b/>
          <w:i/>
          <w:color w:val="000000"/>
          <w:sz w:val="20"/>
          <w:szCs w:val="20"/>
        </w:rPr>
      </w:pPr>
    </w:p>
    <w:p w:rsidR="00A51CDF" w:rsidRDefault="00A51CDF" w:rsidP="00A51CDF">
      <w:pPr>
        <w:spacing w:after="0" w:line="240" w:lineRule="auto"/>
        <w:jc w:val="both"/>
        <w:rPr>
          <w:rFonts w:ascii="Calibri" w:eastAsia="Times New Roman" w:hAnsi="Calibri" w:cs="Calibri"/>
          <w:b/>
          <w:i/>
          <w:color w:val="000000"/>
          <w:sz w:val="20"/>
          <w:szCs w:val="20"/>
        </w:rPr>
      </w:pPr>
      <w:r>
        <w:rPr>
          <w:rFonts w:ascii="Calibri" w:eastAsia="Times New Roman" w:hAnsi="Calibri" w:cs="Calibri"/>
          <w:b/>
          <w:i/>
          <w:color w:val="000000"/>
          <w:sz w:val="20"/>
          <w:szCs w:val="20"/>
        </w:rPr>
        <w:t>Kaynak: TÜİK, BDDK</w:t>
      </w:r>
    </w:p>
    <w:p w:rsidR="00A51CDF" w:rsidRDefault="00A51CDF" w:rsidP="0081542D">
      <w:pPr>
        <w:autoSpaceDE w:val="0"/>
        <w:autoSpaceDN w:val="0"/>
        <w:adjustRightInd w:val="0"/>
        <w:spacing w:after="0" w:line="240" w:lineRule="auto"/>
        <w:jc w:val="both"/>
        <w:rPr>
          <w:rFonts w:cstheme="minorHAnsi"/>
          <w:bCs/>
        </w:rPr>
      </w:pPr>
    </w:p>
    <w:p w:rsidR="00FC5D9B" w:rsidRDefault="00402F30" w:rsidP="0081542D">
      <w:pPr>
        <w:autoSpaceDE w:val="0"/>
        <w:autoSpaceDN w:val="0"/>
        <w:adjustRightInd w:val="0"/>
        <w:spacing w:after="0" w:line="240" w:lineRule="auto"/>
        <w:jc w:val="both"/>
        <w:rPr>
          <w:rFonts w:cstheme="minorHAnsi"/>
          <w:bCs/>
        </w:rPr>
      </w:pPr>
      <w:r>
        <w:rPr>
          <w:rFonts w:cstheme="minorHAnsi"/>
          <w:bCs/>
        </w:rPr>
        <w:t xml:space="preserve">İnşaat sektöründeki daralma ve yaşanan sorunların bir sonucu olarak,  istihdamda ciddi bir gerileme yaşanmaktadır. </w:t>
      </w:r>
      <w:proofErr w:type="spellStart"/>
      <w:r>
        <w:rPr>
          <w:rFonts w:cstheme="minorHAnsi"/>
          <w:bCs/>
        </w:rPr>
        <w:t>TÜİK’in</w:t>
      </w:r>
      <w:proofErr w:type="spellEnd"/>
      <w:r>
        <w:rPr>
          <w:rFonts w:cstheme="minorHAnsi"/>
          <w:bCs/>
        </w:rPr>
        <w:t xml:space="preserve"> Haziran 2019 verilerine göre; geçen yıla kıyasla sektördeki istihdam kaybı 493 bin kişi olmuştur. Yeni Ekonomi Programı’nda</w:t>
      </w:r>
      <w:r w:rsidR="00AC67B5">
        <w:rPr>
          <w:rFonts w:cstheme="minorHAnsi"/>
          <w:bCs/>
        </w:rPr>
        <w:t xml:space="preserve"> (YEP)</w:t>
      </w:r>
      <w:r>
        <w:rPr>
          <w:rFonts w:cstheme="minorHAnsi"/>
          <w:bCs/>
        </w:rPr>
        <w:t xml:space="preserve"> sektörde </w:t>
      </w:r>
      <w:r w:rsidRPr="00AC0CBF">
        <w:rPr>
          <w:rFonts w:cstheme="minorHAnsi"/>
          <w:bCs/>
        </w:rPr>
        <w:t xml:space="preserve">tamamlanmaya yakın </w:t>
      </w:r>
      <w:r>
        <w:rPr>
          <w:rFonts w:cstheme="minorHAnsi"/>
          <w:bCs/>
        </w:rPr>
        <w:t>projelere finansman desteğiyle</w:t>
      </w:r>
      <w:r w:rsidRPr="00AC0CBF">
        <w:rPr>
          <w:rFonts w:cstheme="minorHAnsi"/>
          <w:bCs/>
        </w:rPr>
        <w:t xml:space="preserve"> durgunluk kaynaklı istihdam kayıplarının azaltılacağını</w:t>
      </w:r>
      <w:r>
        <w:rPr>
          <w:rFonts w:cstheme="minorHAnsi"/>
          <w:bCs/>
        </w:rPr>
        <w:t>n açıklanması bu çerçevede önemlidir.</w:t>
      </w:r>
      <w:r w:rsidRPr="00AC0CBF">
        <w:t xml:space="preserve"> </w:t>
      </w:r>
    </w:p>
    <w:p w:rsidR="0081542D" w:rsidRDefault="0081542D" w:rsidP="0081542D">
      <w:pPr>
        <w:autoSpaceDE w:val="0"/>
        <w:autoSpaceDN w:val="0"/>
        <w:adjustRightInd w:val="0"/>
        <w:spacing w:after="0" w:line="240" w:lineRule="auto"/>
        <w:jc w:val="both"/>
        <w:rPr>
          <w:rFonts w:cstheme="minorHAnsi"/>
          <w:bCs/>
        </w:rPr>
      </w:pPr>
    </w:p>
    <w:p w:rsidR="0081542D" w:rsidRDefault="0081542D" w:rsidP="0081542D">
      <w:pPr>
        <w:autoSpaceDE w:val="0"/>
        <w:autoSpaceDN w:val="0"/>
        <w:adjustRightInd w:val="0"/>
        <w:spacing w:after="0" w:line="240" w:lineRule="auto"/>
        <w:jc w:val="both"/>
      </w:pPr>
      <w:r>
        <w:rPr>
          <w:rFonts w:cstheme="minorHAnsi"/>
          <w:bCs/>
        </w:rPr>
        <w:t>Müteahhitlik firmalarının finansman sıkı</w:t>
      </w:r>
      <w:r w:rsidR="008211C8">
        <w:rPr>
          <w:rFonts w:cstheme="minorHAnsi"/>
          <w:bCs/>
        </w:rPr>
        <w:t>ntısı artmaya devam etmektedir.</w:t>
      </w:r>
      <w:r>
        <w:rPr>
          <w:rFonts w:cstheme="minorHAnsi"/>
          <w:bCs/>
        </w:rPr>
        <w:t xml:space="preserve"> </w:t>
      </w:r>
      <w:r w:rsidR="008211C8">
        <w:t>BDDK</w:t>
      </w:r>
      <w:r>
        <w:t xml:space="preserve"> verilerine göre</w:t>
      </w:r>
      <w:r w:rsidR="008211C8">
        <w:t>;</w:t>
      </w:r>
      <w:r>
        <w:t xml:space="preserve"> Haziran sonu itibariyle inşaat sektörüne açılan nakdi kredi hacmi 224 milyar TL düzeyine erişmiş, takipteki kredi hacmi 15 milyar TL olmuş ve kredilerin takibe dönüşüm oranı (tüm sektörler ortalaması olan %4,57’nin üzerinde) %6,69 olarak kaydedilmiştir. BDDK, Mart ayı verilerinde</w:t>
      </w:r>
      <w:r w:rsidR="00AC67B5">
        <w:t xml:space="preserve"> ise</w:t>
      </w:r>
      <w:r>
        <w:t xml:space="preserve"> </w:t>
      </w:r>
      <w:proofErr w:type="spellStart"/>
      <w:r>
        <w:t>sektörel</w:t>
      </w:r>
      <w:proofErr w:type="spellEnd"/>
      <w:r>
        <w:t xml:space="preserve"> kredilerin takibe dönüşüm oranını %6,11 olarak açıklamıştır. </w:t>
      </w:r>
    </w:p>
    <w:p w:rsidR="0081542D" w:rsidRDefault="0081542D" w:rsidP="0081542D">
      <w:pPr>
        <w:autoSpaceDE w:val="0"/>
        <w:autoSpaceDN w:val="0"/>
        <w:adjustRightInd w:val="0"/>
        <w:spacing w:after="0" w:line="240" w:lineRule="auto"/>
        <w:jc w:val="both"/>
        <w:rPr>
          <w:rFonts w:cstheme="minorHAnsi"/>
          <w:bCs/>
        </w:rPr>
      </w:pPr>
    </w:p>
    <w:p w:rsidR="0081542D" w:rsidRDefault="0081542D" w:rsidP="0081542D">
      <w:pPr>
        <w:autoSpaceDE w:val="0"/>
        <w:autoSpaceDN w:val="0"/>
        <w:adjustRightInd w:val="0"/>
        <w:spacing w:after="0" w:line="240" w:lineRule="auto"/>
        <w:jc w:val="both"/>
        <w:rPr>
          <w:rFonts w:cstheme="minorHAnsi"/>
        </w:rPr>
      </w:pPr>
      <w:r w:rsidRPr="00C36713">
        <w:rPr>
          <w:rFonts w:cstheme="minorHAnsi"/>
        </w:rPr>
        <w:t>Tüm bu gelişmelerle birlikte, ekonomi yönetiminin son dönemde gerek makro ekonomiyi gerek sektörü canlandırmaya yönelik attığı adımların etkisiyle geleceğe yönelik olumlu sinyaller alınmaya başlanmıştır.</w:t>
      </w:r>
    </w:p>
    <w:p w:rsidR="0081542D" w:rsidRDefault="0081542D" w:rsidP="0081542D">
      <w:pPr>
        <w:autoSpaceDE w:val="0"/>
        <w:autoSpaceDN w:val="0"/>
        <w:adjustRightInd w:val="0"/>
        <w:spacing w:after="0" w:line="240" w:lineRule="auto"/>
        <w:jc w:val="both"/>
        <w:rPr>
          <w:rFonts w:cstheme="minorHAnsi"/>
        </w:rPr>
      </w:pPr>
    </w:p>
    <w:p w:rsidR="0081542D" w:rsidRDefault="0081542D" w:rsidP="0081542D">
      <w:pPr>
        <w:autoSpaceDE w:val="0"/>
        <w:autoSpaceDN w:val="0"/>
        <w:adjustRightInd w:val="0"/>
        <w:spacing w:after="0" w:line="240" w:lineRule="auto"/>
        <w:jc w:val="both"/>
        <w:rPr>
          <w:rFonts w:cstheme="minorHAnsi"/>
        </w:rPr>
      </w:pPr>
      <w:r>
        <w:rPr>
          <w:rFonts w:cstheme="minorHAnsi"/>
        </w:rPr>
        <w:t xml:space="preserve">Sektördeki mevcut durumu ve beklentileri ortaya koyan TÜİK İnşaat Sektörü Güven Endeksi yılın ikinci yarısından itibaren yukarı yönlü bir seyir izlemeye başlamıştır. Tüketici, reel kesim ve </w:t>
      </w:r>
      <w:proofErr w:type="spellStart"/>
      <w:r>
        <w:rPr>
          <w:rFonts w:cstheme="minorHAnsi"/>
        </w:rPr>
        <w:t>sektörel</w:t>
      </w:r>
      <w:proofErr w:type="spellEnd"/>
      <w:r>
        <w:rPr>
          <w:rFonts w:cstheme="minorHAnsi"/>
        </w:rPr>
        <w:t xml:space="preserve"> güven endekslerini kapsayan Ekonomik Güven Endeksi’ndeki düşüşe rağmen İnşaat Sektörü Güven Endeksi, Eylül ayında %8,3 oranında artışla 60,1’e yükselmiştir. Çalışmaya soru bazında bakıldığında; ankete katılan </w:t>
      </w:r>
      <w:proofErr w:type="spellStart"/>
      <w:r>
        <w:rPr>
          <w:rFonts w:cstheme="minorHAnsi"/>
        </w:rPr>
        <w:t>sektörel</w:t>
      </w:r>
      <w:proofErr w:type="spellEnd"/>
      <w:r>
        <w:rPr>
          <w:rFonts w:cstheme="minorHAnsi"/>
        </w:rPr>
        <w:t xml:space="preserve"> firmaların bir önceki aya kıyasla alınan toplam çalışan sayısı beklentisinin %9,4 artışla </w:t>
      </w:r>
      <w:r>
        <w:rPr>
          <w:rFonts w:cstheme="minorHAnsi"/>
        </w:rPr>
        <w:lastRenderedPageBreak/>
        <w:t xml:space="preserve">75,9 değerini aldığı görülmüştür. Ayrıca firmalar, sektörde faaliyetleri kısıtlayan temel faktörler arasında en çok finansman sorunları (%48,7) ve talep yetersizliğine (%43,9) işaret etmiştir. İnşaat Sektörü Güven Endeksi, geçtiğimiz yıl kurdan kaynaklı sorunların öncesinde (Ocak-Temmuz 2018 döneminde) 77 - 87 bandında seyretmiştir. </w:t>
      </w:r>
    </w:p>
    <w:p w:rsidR="0081542D" w:rsidRDefault="0081542D" w:rsidP="0081542D">
      <w:pPr>
        <w:autoSpaceDE w:val="0"/>
        <w:autoSpaceDN w:val="0"/>
        <w:adjustRightInd w:val="0"/>
        <w:spacing w:after="0" w:line="240" w:lineRule="auto"/>
        <w:jc w:val="both"/>
        <w:rPr>
          <w:rFonts w:cstheme="minorHAnsi"/>
          <w:bCs/>
        </w:rPr>
      </w:pPr>
    </w:p>
    <w:p w:rsidR="0081542D" w:rsidRDefault="0081542D" w:rsidP="0081542D">
      <w:pPr>
        <w:autoSpaceDE w:val="0"/>
        <w:autoSpaceDN w:val="0"/>
        <w:adjustRightInd w:val="0"/>
        <w:spacing w:after="0" w:line="240" w:lineRule="auto"/>
        <w:jc w:val="both"/>
        <w:rPr>
          <w:rFonts w:cstheme="minorHAnsi"/>
          <w:bCs/>
        </w:rPr>
      </w:pPr>
      <w:r>
        <w:rPr>
          <w:rFonts w:cstheme="minorHAnsi"/>
          <w:bCs/>
        </w:rPr>
        <w:t>Küresel ve ulusal ekonomide son faiz indirim dalgasının da borçluluk oranı yüksek olan inşaat sektörünün finansmana erişimi açısından rahatlatıcı etkisi olabileceği değerlendirilmektedir. İç pazarda özellikle döviz kurlarındaki belirsizlik ve petrol fiyatlarındaki artış eğilimi projelerin seyri açısından mevcut sürecin hassasiyetini koruduğunu göstermektedir.</w:t>
      </w:r>
    </w:p>
    <w:p w:rsidR="0081542D" w:rsidRDefault="0081542D" w:rsidP="0081542D">
      <w:pPr>
        <w:autoSpaceDE w:val="0"/>
        <w:autoSpaceDN w:val="0"/>
        <w:adjustRightInd w:val="0"/>
        <w:spacing w:after="0" w:line="240" w:lineRule="auto"/>
        <w:jc w:val="both"/>
        <w:rPr>
          <w:rFonts w:cstheme="minorHAnsi"/>
          <w:bCs/>
        </w:rPr>
      </w:pPr>
    </w:p>
    <w:p w:rsidR="0081542D" w:rsidRDefault="0081542D" w:rsidP="0081542D">
      <w:pPr>
        <w:autoSpaceDE w:val="0"/>
        <w:autoSpaceDN w:val="0"/>
        <w:adjustRightInd w:val="0"/>
        <w:spacing w:after="0" w:line="240" w:lineRule="auto"/>
        <w:jc w:val="both"/>
        <w:rPr>
          <w:rFonts w:cstheme="minorHAnsi"/>
        </w:rPr>
      </w:pPr>
      <w:r>
        <w:t>K</w:t>
      </w:r>
      <w:r>
        <w:rPr>
          <w:rFonts w:cstheme="minorHAnsi"/>
        </w:rPr>
        <w:t xml:space="preserve">entsel dönüşüm sürecinin yeniden canlandırılması, kamu - özel ortaklığı (KÖİ) projelerinin doğru </w:t>
      </w:r>
      <w:proofErr w:type="spellStart"/>
      <w:r>
        <w:rPr>
          <w:rFonts w:cstheme="minorHAnsi"/>
        </w:rPr>
        <w:t>önceliklendirilerek</w:t>
      </w:r>
      <w:proofErr w:type="spellEnd"/>
      <w:r>
        <w:rPr>
          <w:rFonts w:cstheme="minorHAnsi"/>
        </w:rPr>
        <w:t xml:space="preserve"> uygulanmaya devam edilmesi ve büyük altyapı projeleri için uygun maliyetli dış finansman temin edilmesi sektör için önem taşımaktadır. </w:t>
      </w:r>
    </w:p>
    <w:p w:rsidR="0081542D" w:rsidRDefault="0081542D" w:rsidP="0081542D">
      <w:pPr>
        <w:autoSpaceDE w:val="0"/>
        <w:autoSpaceDN w:val="0"/>
        <w:adjustRightInd w:val="0"/>
        <w:spacing w:after="0" w:line="240" w:lineRule="auto"/>
        <w:jc w:val="both"/>
        <w:rPr>
          <w:rFonts w:cstheme="minorHAnsi"/>
          <w:bCs/>
        </w:rPr>
      </w:pPr>
    </w:p>
    <w:p w:rsidR="0081542D" w:rsidRPr="00402F30" w:rsidRDefault="0081542D" w:rsidP="0081542D">
      <w:pPr>
        <w:autoSpaceDE w:val="0"/>
        <w:autoSpaceDN w:val="0"/>
        <w:adjustRightInd w:val="0"/>
        <w:spacing w:after="0" w:line="240" w:lineRule="auto"/>
        <w:jc w:val="both"/>
        <w:rPr>
          <w:rFonts w:cstheme="minorHAnsi"/>
          <w:bCs/>
        </w:rPr>
      </w:pPr>
      <w:r>
        <w:rPr>
          <w:rFonts w:cstheme="minorHAnsi"/>
          <w:bCs/>
        </w:rPr>
        <w:t>Ö</w:t>
      </w:r>
      <w:r>
        <w:rPr>
          <w:rFonts w:cstheme="minorHAnsi"/>
        </w:rPr>
        <w:t xml:space="preserve">zellikle 1999 Marmara Depremi’nin ardından Türkiye’nin gündemine giren kentsel dönüşüm süreci deprem riski ile mücadele edebilmek ve çevreye duyarlı sürdürülebilir şehirler yaratabilmek için fırsat olarak değerlendirilmelidir. Eylül ayında düzenlenen bir toplantıyla Kentsel Dönüşüm Eylem Planı’nı </w:t>
      </w:r>
      <w:r w:rsidRPr="00402F30">
        <w:rPr>
          <w:rFonts w:cstheme="minorHAnsi"/>
        </w:rPr>
        <w:t xml:space="preserve">açıklayan Çevre ve Şehircilik Bakanı Murat Kurum, riskli görülen 6,7 milyon konuttan öncelikli olarak 1,5 milyon konutun dönüşümünün 5 yıl içerisinde tamamlanacağını açıklamıştır. Bu çerçevede Bakanlık tarafından başlatılan, yapı </w:t>
      </w:r>
      <w:proofErr w:type="gramStart"/>
      <w:r w:rsidRPr="00402F30">
        <w:rPr>
          <w:rFonts w:cstheme="minorHAnsi"/>
        </w:rPr>
        <w:t>müteahhitliğinin</w:t>
      </w:r>
      <w:proofErr w:type="gramEnd"/>
      <w:r w:rsidRPr="00402F30">
        <w:rPr>
          <w:rFonts w:cstheme="minorHAnsi"/>
        </w:rPr>
        <w:t xml:space="preserve"> mesleki çerçeveye oturtulması çalışmalarının tamamlanmasına ihtiyaç duyulmaktadır. </w:t>
      </w:r>
      <w:r w:rsidRPr="00402F30">
        <w:rPr>
          <w:rFonts w:cstheme="minorHAnsi"/>
          <w:bCs/>
        </w:rPr>
        <w:t xml:space="preserve">       </w:t>
      </w:r>
    </w:p>
    <w:p w:rsidR="0003478A" w:rsidRPr="00402F30" w:rsidRDefault="0003478A" w:rsidP="0081542D">
      <w:pPr>
        <w:autoSpaceDE w:val="0"/>
        <w:autoSpaceDN w:val="0"/>
        <w:adjustRightInd w:val="0"/>
        <w:spacing w:after="0" w:line="240" w:lineRule="auto"/>
        <w:jc w:val="both"/>
        <w:rPr>
          <w:rFonts w:cstheme="minorHAnsi"/>
          <w:bCs/>
        </w:rPr>
      </w:pPr>
    </w:p>
    <w:p w:rsidR="00402F30" w:rsidRPr="00402F30" w:rsidRDefault="00114EDE" w:rsidP="0081542D">
      <w:pPr>
        <w:pStyle w:val="NormalWeb"/>
        <w:spacing w:before="0" w:beforeAutospacing="0" w:after="0" w:afterAutospacing="0"/>
        <w:jc w:val="both"/>
        <w:rPr>
          <w:rFonts w:asciiTheme="minorHAnsi" w:hAnsiTheme="minorHAnsi" w:cstheme="minorHAnsi"/>
          <w:bCs/>
          <w:sz w:val="22"/>
          <w:szCs w:val="22"/>
        </w:rPr>
      </w:pPr>
      <w:r w:rsidRPr="00402F30">
        <w:rPr>
          <w:rFonts w:asciiTheme="minorHAnsi" w:hAnsiTheme="minorHAnsi" w:cstheme="minorHAnsi"/>
          <w:bCs/>
          <w:sz w:val="22"/>
          <w:szCs w:val="22"/>
        </w:rPr>
        <w:t>İ</w:t>
      </w:r>
      <w:r w:rsidR="0003478A" w:rsidRPr="00402F30">
        <w:rPr>
          <w:rFonts w:asciiTheme="minorHAnsi" w:hAnsiTheme="minorHAnsi" w:cstheme="minorHAnsi"/>
          <w:bCs/>
          <w:sz w:val="22"/>
          <w:szCs w:val="22"/>
        </w:rPr>
        <w:t>nşaat sektöründe depreme dayanımdan insan sağlığına, atık yönetimi ve çevre planlamadan enerji verimliliğine kadar geniş bir alanda AR-GE faaliyetlerinin önemi büyüktür. Bu çerçevede yerli üretimin desteklenmesiyle performans odaklı ve rekabet edebilecek maliyetlerde ürünlerin ortaya konması</w:t>
      </w:r>
      <w:r w:rsidRPr="00402F30">
        <w:rPr>
          <w:rFonts w:asciiTheme="minorHAnsi" w:hAnsiTheme="minorHAnsi" w:cstheme="minorHAnsi"/>
          <w:bCs/>
          <w:sz w:val="22"/>
          <w:szCs w:val="22"/>
        </w:rPr>
        <w:t xml:space="preserve"> </w:t>
      </w:r>
      <w:r w:rsidR="0003478A" w:rsidRPr="00402F30">
        <w:rPr>
          <w:rFonts w:asciiTheme="minorHAnsi" w:hAnsiTheme="minorHAnsi" w:cstheme="minorHAnsi"/>
          <w:bCs/>
          <w:sz w:val="22"/>
          <w:szCs w:val="22"/>
        </w:rPr>
        <w:t>sektörde ve ekonomide verimlilik artışı sağlaya</w:t>
      </w:r>
      <w:r w:rsidRPr="00402F30">
        <w:rPr>
          <w:rFonts w:asciiTheme="minorHAnsi" w:hAnsiTheme="minorHAnsi" w:cstheme="minorHAnsi"/>
          <w:bCs/>
          <w:sz w:val="22"/>
          <w:szCs w:val="22"/>
        </w:rPr>
        <w:t xml:space="preserve">caktır. Hedefleri arasında yerel üretimin desteklenmesinin yer aldığı </w:t>
      </w:r>
      <w:proofErr w:type="spellStart"/>
      <w:r w:rsidRPr="00402F30">
        <w:rPr>
          <w:rFonts w:asciiTheme="minorHAnsi" w:hAnsiTheme="minorHAnsi" w:cstheme="minorHAnsi"/>
          <w:bCs/>
          <w:sz w:val="22"/>
          <w:szCs w:val="22"/>
        </w:rPr>
        <w:t>Y</w:t>
      </w:r>
      <w:r w:rsidR="00AC67B5">
        <w:rPr>
          <w:rFonts w:asciiTheme="minorHAnsi" w:hAnsiTheme="minorHAnsi" w:cstheme="minorHAnsi"/>
          <w:bCs/>
          <w:sz w:val="22"/>
          <w:szCs w:val="22"/>
        </w:rPr>
        <w:t>EP’in</w:t>
      </w:r>
      <w:proofErr w:type="spellEnd"/>
      <w:r w:rsidR="00AC67B5">
        <w:rPr>
          <w:rFonts w:asciiTheme="minorHAnsi" w:hAnsiTheme="minorHAnsi" w:cstheme="minorHAnsi"/>
          <w:bCs/>
          <w:sz w:val="22"/>
          <w:szCs w:val="22"/>
        </w:rPr>
        <w:t xml:space="preserve"> </w:t>
      </w:r>
      <w:r w:rsidRPr="00402F30">
        <w:rPr>
          <w:rFonts w:asciiTheme="minorHAnsi" w:hAnsiTheme="minorHAnsi" w:cstheme="minorHAnsi"/>
          <w:bCs/>
          <w:sz w:val="22"/>
          <w:szCs w:val="22"/>
        </w:rPr>
        <w:t xml:space="preserve">politika adımları bu açıdan </w:t>
      </w:r>
      <w:r w:rsidR="009404A3" w:rsidRPr="00402F30">
        <w:rPr>
          <w:rFonts w:asciiTheme="minorHAnsi" w:hAnsiTheme="minorHAnsi" w:cstheme="minorHAnsi"/>
          <w:bCs/>
          <w:sz w:val="22"/>
          <w:szCs w:val="22"/>
        </w:rPr>
        <w:t xml:space="preserve">önümüzdeki dönemde </w:t>
      </w:r>
      <w:r w:rsidR="007D5D16" w:rsidRPr="00402F30">
        <w:rPr>
          <w:rFonts w:asciiTheme="minorHAnsi" w:hAnsiTheme="minorHAnsi" w:cstheme="minorHAnsi"/>
          <w:bCs/>
          <w:sz w:val="22"/>
          <w:szCs w:val="22"/>
        </w:rPr>
        <w:t xml:space="preserve">sektör tarafından </w:t>
      </w:r>
      <w:r w:rsidRPr="00402F30">
        <w:rPr>
          <w:rFonts w:asciiTheme="minorHAnsi" w:hAnsiTheme="minorHAnsi" w:cstheme="minorHAnsi"/>
          <w:bCs/>
          <w:sz w:val="22"/>
          <w:szCs w:val="22"/>
        </w:rPr>
        <w:t>yakından takip edilecektir. Yerli üretime destek, Türk firmalarının küresel pazarlardaki rekabet gücünü de yükseltecektir. Türk inşaat firmaları, yurtdışı projelerde genellikle yabancı mühendislik - müşavirlik firmalarının hazırladığı projelerde yer al</w:t>
      </w:r>
      <w:r w:rsidR="007D5D16" w:rsidRPr="00402F30">
        <w:rPr>
          <w:rFonts w:asciiTheme="minorHAnsi" w:hAnsiTheme="minorHAnsi" w:cstheme="minorHAnsi"/>
          <w:bCs/>
          <w:sz w:val="22"/>
          <w:szCs w:val="22"/>
        </w:rPr>
        <w:t>dıklarından k</w:t>
      </w:r>
      <w:r w:rsidRPr="00402F30">
        <w:rPr>
          <w:rFonts w:asciiTheme="minorHAnsi" w:hAnsiTheme="minorHAnsi" w:cstheme="minorHAnsi"/>
          <w:bCs/>
          <w:sz w:val="22"/>
          <w:szCs w:val="22"/>
        </w:rPr>
        <w:t>ullanacakları ürünleri kendileri belirleyememektedir.</w:t>
      </w:r>
      <w:r w:rsidR="007D5D16" w:rsidRPr="00402F30">
        <w:rPr>
          <w:rFonts w:asciiTheme="minorHAnsi" w:hAnsiTheme="minorHAnsi" w:cstheme="minorHAnsi"/>
          <w:bCs/>
          <w:sz w:val="22"/>
          <w:szCs w:val="22"/>
        </w:rPr>
        <w:t xml:space="preserve"> Dolayısıyla yurtdışı </w:t>
      </w:r>
      <w:proofErr w:type="gramStart"/>
      <w:r w:rsidR="007D5D16" w:rsidRPr="00402F30">
        <w:rPr>
          <w:rFonts w:asciiTheme="minorHAnsi" w:hAnsiTheme="minorHAnsi" w:cstheme="minorHAnsi"/>
          <w:bCs/>
          <w:sz w:val="22"/>
          <w:szCs w:val="22"/>
        </w:rPr>
        <w:t>müteahhitlik</w:t>
      </w:r>
      <w:proofErr w:type="gramEnd"/>
      <w:r w:rsidR="007D5D16" w:rsidRPr="00402F30">
        <w:rPr>
          <w:rFonts w:asciiTheme="minorHAnsi" w:hAnsiTheme="minorHAnsi" w:cstheme="minorHAnsi"/>
          <w:bCs/>
          <w:sz w:val="22"/>
          <w:szCs w:val="22"/>
        </w:rPr>
        <w:t xml:space="preserve"> hizmetleri çerçevesinde yerli ürün kullanımını artıracak önemli bir adım, </w:t>
      </w:r>
      <w:r w:rsidRPr="00402F30">
        <w:rPr>
          <w:rFonts w:asciiTheme="minorHAnsi" w:hAnsiTheme="minorHAnsi" w:cstheme="minorHAnsi"/>
          <w:bCs/>
          <w:sz w:val="22"/>
          <w:szCs w:val="22"/>
        </w:rPr>
        <w:t>Türk teknik müşavirlik ve mühendislik hizmetlerinin desteklenmesi</w:t>
      </w:r>
      <w:r w:rsidR="007D5D16" w:rsidRPr="00402F30">
        <w:rPr>
          <w:rFonts w:asciiTheme="minorHAnsi" w:hAnsiTheme="minorHAnsi" w:cstheme="minorHAnsi"/>
          <w:bCs/>
          <w:sz w:val="22"/>
          <w:szCs w:val="22"/>
        </w:rPr>
        <w:t xml:space="preserve"> olacaktır.</w:t>
      </w:r>
    </w:p>
    <w:p w:rsidR="00402F30" w:rsidRDefault="00402F30" w:rsidP="0081542D">
      <w:pPr>
        <w:pStyle w:val="NormalWeb"/>
        <w:spacing w:before="0" w:beforeAutospacing="0" w:after="0" w:afterAutospacing="0"/>
        <w:jc w:val="both"/>
        <w:rPr>
          <w:rFonts w:cstheme="minorHAnsi"/>
          <w:bCs/>
        </w:rPr>
      </w:pPr>
    </w:p>
    <w:p w:rsidR="0081542D" w:rsidRDefault="0081542D" w:rsidP="0081542D">
      <w:pPr>
        <w:pStyle w:val="NormalWeb"/>
        <w:spacing w:before="0" w:beforeAutospacing="0" w:after="0" w:afterAutospacing="0"/>
        <w:jc w:val="both"/>
        <w:rPr>
          <w:rFonts w:asciiTheme="minorHAnsi" w:hAnsiTheme="minorHAnsi" w:cs="Calibri"/>
          <w:b/>
          <w:i/>
          <w:color w:val="632423"/>
        </w:rPr>
      </w:pPr>
      <w:r>
        <w:rPr>
          <w:rFonts w:asciiTheme="minorHAnsi" w:hAnsiTheme="minorHAnsi" w:cs="Calibri"/>
          <w:b/>
          <w:color w:val="632423"/>
        </w:rPr>
        <w:t xml:space="preserve">Konut </w:t>
      </w:r>
      <w:proofErr w:type="spellStart"/>
      <w:r>
        <w:rPr>
          <w:rFonts w:asciiTheme="minorHAnsi" w:hAnsiTheme="minorHAnsi" w:cs="Calibri"/>
          <w:b/>
          <w:color w:val="632423"/>
        </w:rPr>
        <w:t>Segmenti</w:t>
      </w:r>
      <w:proofErr w:type="spellEnd"/>
      <w:r>
        <w:rPr>
          <w:rFonts w:asciiTheme="minorHAnsi" w:hAnsiTheme="minorHAnsi" w:cs="Calibri"/>
          <w:b/>
          <w:color w:val="632423"/>
        </w:rPr>
        <w:t xml:space="preserve">                                                                              </w:t>
      </w:r>
      <w:r>
        <w:rPr>
          <w:rFonts w:asciiTheme="minorHAnsi" w:hAnsiTheme="minorHAnsi" w:cs="Calibri"/>
          <w:b/>
          <w:i/>
          <w:color w:val="632423"/>
        </w:rPr>
        <w:t>Satışlarda dipten dönüş başladı</w:t>
      </w:r>
    </w:p>
    <w:p w:rsidR="0081542D" w:rsidRDefault="0081542D" w:rsidP="0081542D">
      <w:pPr>
        <w:pStyle w:val="NormalWeb"/>
        <w:jc w:val="both"/>
        <w:rPr>
          <w:rFonts w:asciiTheme="minorHAnsi" w:hAnsiTheme="minorHAnsi" w:cstheme="minorHAnsi"/>
          <w:bCs/>
          <w:sz w:val="22"/>
          <w:szCs w:val="22"/>
        </w:rPr>
      </w:pPr>
      <w:r>
        <w:rPr>
          <w:rFonts w:asciiTheme="minorHAnsi" w:hAnsiTheme="minorHAnsi" w:cstheme="minorHAnsi"/>
          <w:bCs/>
          <w:sz w:val="22"/>
          <w:szCs w:val="22"/>
        </w:rPr>
        <w:t>Konut alanında 2018 yılı ikinci yarısında başlayan durgunluk, teşvik ve kampanyalar ile düşen faizler başta olmak üzere piyasayı canlandırmak üzere atılan adımlara rağmen 2019 yılının ilk yarısında geride bırakılamamıştır. Yılın ikinci yarısında ise konut satışlarında dipten dönüşün işaretleri dikkat çekmektedir.</w:t>
      </w:r>
    </w:p>
    <w:p w:rsidR="00B1470D" w:rsidRDefault="00B1470D" w:rsidP="00B1470D">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Türkiye genelinde 2019 yılı Ocak - Ağustos döneminde toplam 718.570 konut el değiştirmiştir. Konut satışlarında 2018 yılının özellikle ikinci yarısında başlayan düşüş eğilimi bu yıl artarak sürmüş, satışlarda yılın ilk 8 ayında geçen yılın aynı dönemine göre %18 oranında gerileme yaşanmıştır. Bu dönemde özellikle ipotekli satışlarda keskin düşüşler görülmüştür. </w:t>
      </w: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81542D" w:rsidRDefault="0081542D" w:rsidP="0081542D">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lastRenderedPageBreak/>
        <w:t>Aylık Konut Satışları (Adet)</w:t>
      </w:r>
    </w:p>
    <w:p w:rsidR="0081542D" w:rsidRDefault="0081542D" w:rsidP="0081542D">
      <w:pPr>
        <w:pStyle w:val="NormalWeb"/>
        <w:spacing w:before="0" w:beforeAutospacing="0" w:after="0" w:afterAutospacing="0"/>
        <w:jc w:val="both"/>
        <w:rPr>
          <w:rFonts w:asciiTheme="minorHAnsi" w:hAnsiTheme="minorHAnsi" w:cstheme="minorHAnsi"/>
          <w:b/>
          <w:bCs/>
          <w:sz w:val="22"/>
          <w:szCs w:val="22"/>
        </w:rPr>
      </w:pPr>
    </w:p>
    <w:p w:rsidR="0081542D" w:rsidRDefault="009E0C53" w:rsidP="0081542D">
      <w:pPr>
        <w:pStyle w:val="NormalWeb"/>
        <w:spacing w:before="0" w:beforeAutospacing="0" w:after="0" w:afterAutospacing="0"/>
        <w:jc w:val="both"/>
        <w:rPr>
          <w:rFonts w:asciiTheme="minorHAnsi" w:hAnsiTheme="minorHAnsi" w:cstheme="minorHAnsi"/>
          <w:b/>
          <w:bCs/>
          <w:i/>
          <w:sz w:val="20"/>
          <w:szCs w:val="20"/>
        </w:rPr>
      </w:pPr>
      <w:r w:rsidRPr="009E0C53">
        <w:rPr>
          <w:noProof/>
          <w:szCs w:val="20"/>
        </w:rPr>
        <w:drawing>
          <wp:inline distT="0" distB="0" distL="0" distR="0">
            <wp:extent cx="2171490" cy="1868910"/>
            <wp:effectExtent l="19050" t="0" r="21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75577" cy="1872428"/>
                    </a:xfrm>
                    <a:prstGeom prst="rect">
                      <a:avLst/>
                    </a:prstGeom>
                    <a:noFill/>
                    <a:ln w="9525">
                      <a:noFill/>
                      <a:miter lim="800000"/>
                      <a:headEnd/>
                      <a:tailEnd/>
                    </a:ln>
                  </pic:spPr>
                </pic:pic>
              </a:graphicData>
            </a:graphic>
          </wp:inline>
        </w:drawing>
      </w:r>
    </w:p>
    <w:p w:rsidR="00402F30" w:rsidRDefault="00402F30" w:rsidP="0081542D">
      <w:pPr>
        <w:pStyle w:val="NormalWeb"/>
        <w:spacing w:before="0" w:beforeAutospacing="0" w:after="0" w:afterAutospacing="0"/>
        <w:jc w:val="both"/>
        <w:rPr>
          <w:rFonts w:asciiTheme="minorHAnsi" w:hAnsiTheme="minorHAnsi" w:cstheme="minorHAnsi"/>
          <w:b/>
          <w:bCs/>
          <w:i/>
          <w:sz w:val="20"/>
          <w:szCs w:val="20"/>
        </w:rPr>
      </w:pPr>
    </w:p>
    <w:p w:rsidR="002B3950" w:rsidRDefault="0081542D" w:rsidP="0081542D">
      <w:pPr>
        <w:pStyle w:val="NormalWeb"/>
        <w:spacing w:before="0" w:beforeAutospacing="0" w:after="0" w:afterAutospacing="0"/>
        <w:jc w:val="both"/>
        <w:rPr>
          <w:rFonts w:asciiTheme="minorHAnsi" w:hAnsiTheme="minorHAnsi" w:cstheme="minorHAnsi"/>
          <w:bCs/>
          <w:sz w:val="22"/>
          <w:szCs w:val="22"/>
        </w:rPr>
      </w:pPr>
      <w:proofErr w:type="gramStart"/>
      <w:r>
        <w:rPr>
          <w:rFonts w:asciiTheme="minorHAnsi" w:hAnsiTheme="minorHAnsi" w:cstheme="minorHAnsi"/>
          <w:b/>
          <w:bCs/>
          <w:i/>
          <w:sz w:val="20"/>
          <w:szCs w:val="20"/>
        </w:rPr>
        <w:t>Kaynak:TÜİK</w:t>
      </w:r>
      <w:proofErr w:type="gramEnd"/>
    </w:p>
    <w:p w:rsidR="005E54D7" w:rsidRDefault="005E54D7" w:rsidP="005E54D7">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Konut satışlarında Ocak ve Şubat 2019'da önceki yılın aynı aylarına göre sırasıyla %24,8 ve %18,2 oranlarında daralma yaşanmıştır. Mart ayında ise satışlardaki düşüş daha önce Mart sonu biteceği açıklanan vergi avantajı ve kamu bankaları tarafından uygulanan düşük faizli kredi kampanyalarının etkisiyle %5,3'e gerilemiştir. Uzun Ramazan Bayramı tatilinin de etkisiyle Haziran 2019’da satışlar aylık </w:t>
      </w:r>
      <w:proofErr w:type="gramStart"/>
      <w:r>
        <w:rPr>
          <w:rFonts w:asciiTheme="minorHAnsi" w:hAnsiTheme="minorHAnsi" w:cstheme="minorHAnsi"/>
          <w:bCs/>
          <w:sz w:val="22"/>
          <w:szCs w:val="22"/>
        </w:rPr>
        <w:t>bazda</w:t>
      </w:r>
      <w:proofErr w:type="gramEnd"/>
      <w:r>
        <w:rPr>
          <w:rFonts w:asciiTheme="minorHAnsi" w:hAnsiTheme="minorHAnsi" w:cstheme="minorHAnsi"/>
          <w:bCs/>
          <w:sz w:val="22"/>
          <w:szCs w:val="22"/>
        </w:rPr>
        <w:t xml:space="preserve"> %48,6 oranında gerileyerek yılın en düşük seviyesine inmiştir. TCMB faiz indirim kararının ardından konut satışlarındaki yıllık </w:t>
      </w:r>
      <w:proofErr w:type="gramStart"/>
      <w:r>
        <w:rPr>
          <w:rFonts w:asciiTheme="minorHAnsi" w:hAnsiTheme="minorHAnsi" w:cstheme="minorHAnsi"/>
          <w:bCs/>
          <w:sz w:val="22"/>
          <w:szCs w:val="22"/>
        </w:rPr>
        <w:t>bazda</w:t>
      </w:r>
      <w:proofErr w:type="gramEnd"/>
      <w:r>
        <w:rPr>
          <w:rFonts w:asciiTheme="minorHAnsi" w:hAnsiTheme="minorHAnsi" w:cstheme="minorHAnsi"/>
          <w:bCs/>
          <w:sz w:val="22"/>
          <w:szCs w:val="22"/>
        </w:rPr>
        <w:t xml:space="preserve"> daralma Temmuz 2019’da %17,5’e gerilerken, Haziran - Temmuz döneminde ipotekli satışlar en düşük düzeyde gerçekleşmiştir. Kamu bankalarının konut kredisi faiz oranlarını %0,99 seviyesine çektiği Ağustos ayında ise satışlar dipten dönüş sinyali ve %5 oranıyla yükselmiştir. Yılın en yüksek satışına da ulaşılan bu ayda Türkiye genelinde toplam 110.538 konut el değiştirmiştir.</w:t>
      </w:r>
    </w:p>
    <w:p w:rsidR="0081542D" w:rsidRDefault="0081542D" w:rsidP="0081542D">
      <w:pPr>
        <w:pStyle w:val="NormalWeb"/>
        <w:spacing w:before="0" w:beforeAutospacing="0" w:after="0" w:afterAutospacing="0"/>
        <w:jc w:val="both"/>
        <w:rPr>
          <w:rFonts w:asciiTheme="minorHAnsi" w:hAnsiTheme="minorHAnsi" w:cstheme="minorHAnsi"/>
          <w:bCs/>
          <w:sz w:val="22"/>
          <w:szCs w:val="22"/>
        </w:rPr>
      </w:pPr>
      <w:proofErr w:type="spellStart"/>
      <w:r>
        <w:rPr>
          <w:rFonts w:asciiTheme="minorHAnsi" w:hAnsiTheme="minorHAnsi" w:cstheme="minorHAnsi"/>
          <w:bCs/>
          <w:sz w:val="22"/>
          <w:szCs w:val="22"/>
        </w:rPr>
        <w:t>TÜİK’in</w:t>
      </w:r>
      <w:proofErr w:type="spellEnd"/>
      <w:r>
        <w:rPr>
          <w:rFonts w:asciiTheme="minorHAnsi" w:hAnsiTheme="minorHAnsi" w:cstheme="minorHAnsi"/>
          <w:bCs/>
          <w:sz w:val="22"/>
          <w:szCs w:val="22"/>
        </w:rPr>
        <w:t xml:space="preserve"> Ağustos</w:t>
      </w:r>
      <w:r w:rsidR="009404A3">
        <w:rPr>
          <w:rFonts w:asciiTheme="minorHAnsi" w:hAnsiTheme="minorHAnsi" w:cstheme="minorHAnsi"/>
          <w:bCs/>
          <w:sz w:val="22"/>
          <w:szCs w:val="22"/>
        </w:rPr>
        <w:t xml:space="preserve"> ayı Konut Satış İstatistikleri</w:t>
      </w:r>
      <w:r>
        <w:rPr>
          <w:rFonts w:asciiTheme="minorHAnsi" w:hAnsiTheme="minorHAnsi" w:cstheme="minorHAnsi"/>
          <w:bCs/>
          <w:sz w:val="22"/>
          <w:szCs w:val="22"/>
        </w:rPr>
        <w:t xml:space="preserve"> ipotekli satışların Temmuz ayındaki 13 bin seviyesinden yükselerek 34 bini aştığı göstermektedir. Ancak konut stoklarının eritilmesi açısından önem taşıyan ilk satışlar, Temmuz ayındaki 38 bin seviyesinden oldukça sınırlı bir artışla yaklaşık 41 bine yaklaşmıştır. Ağustos ayında ipotekli satışların üçte ikisini oluşturan ikinci el satışlar da 70 bin dolayında gerçekleşmiştir. Toplam satışlarda </w:t>
      </w:r>
      <w:r w:rsidR="00C25A44">
        <w:rPr>
          <w:rFonts w:asciiTheme="minorHAnsi" w:hAnsiTheme="minorHAnsi" w:cstheme="minorHAnsi"/>
          <w:bCs/>
          <w:sz w:val="22"/>
          <w:szCs w:val="22"/>
        </w:rPr>
        <w:t>kısıtlı paya sahip olsa da son bir</w:t>
      </w:r>
      <w:r>
        <w:rPr>
          <w:rFonts w:asciiTheme="minorHAnsi" w:hAnsiTheme="minorHAnsi" w:cstheme="minorHAnsi"/>
          <w:bCs/>
          <w:sz w:val="22"/>
          <w:szCs w:val="22"/>
        </w:rPr>
        <w:t xml:space="preserve"> yıldır T.C. Vatandaşlığı hakkı elde etmede gayrimenkul alımındaki sınırın 1 milyon ABD Doları’ndan 250 bin ABD Doları’na düşürülmesiyle artan ve kurdaki gelişmelerden beslenen “konuta yabancı ilgisi” devamlılığını koruyamamış gözükmektedir. Bu dönemde yabancılara konut satışı %6,8 oranında düşerek 3.604 olmuştur. </w:t>
      </w:r>
    </w:p>
    <w:p w:rsidR="0081542D" w:rsidRDefault="0081542D" w:rsidP="0081542D">
      <w:pPr>
        <w:pStyle w:val="NormalWeb"/>
        <w:spacing w:before="0" w:beforeAutospacing="0" w:after="0" w:afterAutospacing="0"/>
        <w:jc w:val="both"/>
        <w:rPr>
          <w:rFonts w:asciiTheme="minorHAnsi" w:hAnsiTheme="minorHAnsi" w:cstheme="minorHAnsi"/>
          <w:bCs/>
          <w:sz w:val="22"/>
          <w:szCs w:val="22"/>
        </w:rPr>
      </w:pPr>
    </w:p>
    <w:p w:rsidR="0081542D" w:rsidRDefault="0081542D" w:rsidP="0081542D">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Konut fiyatlarındaki seyre bakıldığında; TCMB Konut Fiyat Endeksi’nin Temmuz ayında bir önceki yılın aynı ayına göre %3,5 artarken,  reel olarak %11,2 azaldığı, REIDIN-GYODER Yeni Konut Fiyat Endeksi’nin ise Ağustos ayında bir önceki aya göre %0,43 ve geçen yılın aynı dönemine göre %2,80 arttığı görülmektedir. </w:t>
      </w:r>
    </w:p>
    <w:p w:rsidR="0081542D" w:rsidRDefault="0081542D" w:rsidP="0081542D">
      <w:pPr>
        <w:pStyle w:val="NormalWeb"/>
        <w:spacing w:before="0" w:beforeAutospacing="0" w:after="0" w:afterAutospacing="0"/>
        <w:jc w:val="both"/>
        <w:rPr>
          <w:rFonts w:asciiTheme="minorHAnsi" w:hAnsiTheme="minorHAnsi" w:cstheme="minorHAnsi"/>
          <w:bCs/>
          <w:sz w:val="22"/>
          <w:szCs w:val="22"/>
        </w:rPr>
      </w:pPr>
    </w:p>
    <w:p w:rsidR="0053670F" w:rsidRDefault="0081542D" w:rsidP="0081542D">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Cs/>
          <w:sz w:val="22"/>
          <w:szCs w:val="22"/>
        </w:rPr>
        <w:t>Öte yandan, aşağıd</w:t>
      </w:r>
      <w:r w:rsidR="0053670F">
        <w:rPr>
          <w:rFonts w:asciiTheme="minorHAnsi" w:hAnsiTheme="minorHAnsi" w:cstheme="minorHAnsi"/>
          <w:bCs/>
          <w:sz w:val="22"/>
          <w:szCs w:val="22"/>
        </w:rPr>
        <w:t>aki tablo</w:t>
      </w:r>
      <w:r>
        <w:rPr>
          <w:rFonts w:asciiTheme="minorHAnsi" w:hAnsiTheme="minorHAnsi" w:cstheme="minorHAnsi"/>
          <w:bCs/>
          <w:sz w:val="22"/>
          <w:szCs w:val="22"/>
        </w:rPr>
        <w:t xml:space="preserve"> yıllar itibariyle belediyelerce verilen yapı kullanım izni ve ilk el konut satışlarını göstermektedir. Buna göre, ülkedeki konut stoku yılın yarısı itibariyle 1,2 milyon seviyelerinde seyretmektedir.</w:t>
      </w:r>
    </w:p>
    <w:p w:rsidR="0053670F" w:rsidRDefault="0053670F" w:rsidP="0081542D">
      <w:pPr>
        <w:pStyle w:val="NormalWeb"/>
        <w:spacing w:before="0" w:beforeAutospacing="0" w:after="0" w:afterAutospacing="0"/>
        <w:jc w:val="both"/>
        <w:rPr>
          <w:rFonts w:asciiTheme="minorHAnsi" w:hAnsiTheme="minorHAnsi" w:cstheme="minorHAnsi"/>
          <w:b/>
          <w:bCs/>
          <w:sz w:val="22"/>
          <w:szCs w:val="22"/>
        </w:rPr>
      </w:pPr>
    </w:p>
    <w:p w:rsidR="00E141F7" w:rsidRDefault="00E141F7" w:rsidP="0081542D">
      <w:pPr>
        <w:pStyle w:val="NormalWeb"/>
        <w:spacing w:before="0" w:beforeAutospacing="0" w:after="0" w:afterAutospacing="0"/>
        <w:jc w:val="both"/>
        <w:rPr>
          <w:rFonts w:asciiTheme="minorHAnsi" w:hAnsiTheme="minorHAnsi" w:cstheme="minorHAnsi"/>
          <w:b/>
          <w:bCs/>
          <w:sz w:val="22"/>
          <w:szCs w:val="22"/>
        </w:rPr>
      </w:pPr>
    </w:p>
    <w:p w:rsidR="00E141F7" w:rsidRDefault="00E141F7"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B1470D" w:rsidRDefault="00B1470D" w:rsidP="0081542D">
      <w:pPr>
        <w:pStyle w:val="NormalWeb"/>
        <w:spacing w:before="0" w:beforeAutospacing="0" w:after="0" w:afterAutospacing="0"/>
        <w:jc w:val="both"/>
        <w:rPr>
          <w:rFonts w:asciiTheme="minorHAnsi" w:hAnsiTheme="minorHAnsi" w:cstheme="minorHAnsi"/>
          <w:b/>
          <w:bCs/>
          <w:sz w:val="22"/>
          <w:szCs w:val="22"/>
        </w:rPr>
      </w:pPr>
    </w:p>
    <w:p w:rsidR="00E141F7" w:rsidRDefault="00E141F7" w:rsidP="0081542D">
      <w:pPr>
        <w:pStyle w:val="NormalWeb"/>
        <w:spacing w:before="0" w:beforeAutospacing="0" w:after="0" w:afterAutospacing="0"/>
        <w:jc w:val="both"/>
        <w:rPr>
          <w:rFonts w:asciiTheme="minorHAnsi" w:hAnsiTheme="minorHAnsi" w:cstheme="minorHAnsi"/>
          <w:b/>
          <w:bCs/>
          <w:sz w:val="22"/>
          <w:szCs w:val="22"/>
        </w:rPr>
      </w:pPr>
    </w:p>
    <w:p w:rsidR="0081542D" w:rsidRDefault="0081542D" w:rsidP="0081542D">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lastRenderedPageBreak/>
        <w:t>Konut Stokunda Durum (Adet)</w:t>
      </w:r>
    </w:p>
    <w:p w:rsidR="0081542D" w:rsidRDefault="0081542D" w:rsidP="0081542D">
      <w:pPr>
        <w:pStyle w:val="NormalWeb"/>
        <w:spacing w:before="0" w:beforeAutospacing="0" w:after="0" w:afterAutospacing="0"/>
        <w:jc w:val="both"/>
        <w:rPr>
          <w:rFonts w:asciiTheme="minorHAnsi" w:hAnsiTheme="minorHAnsi" w:cstheme="minorHAnsi"/>
          <w:b/>
          <w:bCs/>
          <w:sz w:val="22"/>
          <w:szCs w:val="22"/>
        </w:rPr>
      </w:pPr>
    </w:p>
    <w:p w:rsidR="0081542D" w:rsidRDefault="006102F5" w:rsidP="0081542D">
      <w:pPr>
        <w:pStyle w:val="NormalWeb"/>
        <w:spacing w:before="0" w:beforeAutospacing="0" w:after="0" w:afterAutospacing="0"/>
        <w:jc w:val="both"/>
        <w:rPr>
          <w:rFonts w:asciiTheme="minorHAnsi" w:hAnsiTheme="minorHAnsi" w:cstheme="minorHAnsi"/>
          <w:bCs/>
          <w:sz w:val="22"/>
          <w:szCs w:val="22"/>
        </w:rPr>
      </w:pPr>
      <w:r w:rsidRPr="006102F5">
        <w:rPr>
          <w:noProof/>
          <w:szCs w:val="22"/>
        </w:rPr>
        <w:drawing>
          <wp:inline distT="0" distB="0" distL="0" distR="0">
            <wp:extent cx="4524375" cy="1538960"/>
            <wp:effectExtent l="19050" t="0" r="9525"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30906" cy="1541181"/>
                    </a:xfrm>
                    <a:prstGeom prst="rect">
                      <a:avLst/>
                    </a:prstGeom>
                    <a:noFill/>
                    <a:ln w="9525">
                      <a:noFill/>
                      <a:miter lim="800000"/>
                      <a:headEnd/>
                      <a:tailEnd/>
                    </a:ln>
                  </pic:spPr>
                </pic:pic>
              </a:graphicData>
            </a:graphic>
          </wp:inline>
        </w:drawing>
      </w:r>
    </w:p>
    <w:p w:rsidR="002407E8" w:rsidRDefault="002407E8" w:rsidP="0081542D">
      <w:pPr>
        <w:pStyle w:val="NormalWeb"/>
        <w:spacing w:before="0" w:beforeAutospacing="0" w:after="0" w:afterAutospacing="0"/>
        <w:jc w:val="both"/>
        <w:rPr>
          <w:rFonts w:asciiTheme="minorHAnsi" w:hAnsiTheme="minorHAnsi" w:cstheme="minorHAnsi"/>
          <w:b/>
          <w:bCs/>
          <w:i/>
          <w:sz w:val="20"/>
          <w:szCs w:val="20"/>
        </w:rPr>
      </w:pPr>
    </w:p>
    <w:p w:rsidR="0081542D" w:rsidRDefault="0081542D" w:rsidP="0081542D">
      <w:pPr>
        <w:pStyle w:val="NormalWeb"/>
        <w:spacing w:before="0" w:beforeAutospacing="0" w:after="0" w:afterAutospacing="0"/>
        <w:jc w:val="both"/>
        <w:rPr>
          <w:rFonts w:asciiTheme="minorHAnsi" w:hAnsiTheme="minorHAnsi" w:cstheme="minorHAnsi"/>
          <w:b/>
          <w:bCs/>
          <w:i/>
          <w:sz w:val="20"/>
          <w:szCs w:val="20"/>
        </w:rPr>
      </w:pPr>
      <w:r>
        <w:rPr>
          <w:rFonts w:asciiTheme="minorHAnsi" w:hAnsiTheme="minorHAnsi" w:cstheme="minorHAnsi"/>
          <w:b/>
          <w:bCs/>
          <w:i/>
          <w:sz w:val="20"/>
          <w:szCs w:val="20"/>
        </w:rPr>
        <w:t>Kaynak: TÜİK</w:t>
      </w:r>
    </w:p>
    <w:p w:rsidR="0081542D" w:rsidRDefault="0081542D" w:rsidP="0081542D">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Ülkemizde konut alanında arz - talep dengesinin sürdürülmesini </w:t>
      </w:r>
      <w:proofErr w:type="spellStart"/>
      <w:r>
        <w:rPr>
          <w:rFonts w:asciiTheme="minorHAnsi" w:hAnsiTheme="minorHAnsi" w:cstheme="minorHAnsi"/>
          <w:bCs/>
          <w:sz w:val="22"/>
          <w:szCs w:val="22"/>
        </w:rPr>
        <w:t>teminen</w:t>
      </w:r>
      <w:proofErr w:type="spellEnd"/>
      <w:r>
        <w:rPr>
          <w:rFonts w:asciiTheme="minorHAnsi" w:hAnsiTheme="minorHAnsi" w:cstheme="minorHAnsi"/>
          <w:bCs/>
          <w:sz w:val="22"/>
          <w:szCs w:val="22"/>
        </w:rPr>
        <w:t xml:space="preserve"> bir strateji belirlenmesi ihtiyacı devam etmektedir. Konut ihtiyacının sürmesine karşın arz ile talebin buluşmasını engelleyen faktörlerin başında tüketicilerde ekonomideki belirsizlikten kaynaklı temkinli duruşun artmış olması sonucu talebin azalması gelmektedir.</w:t>
      </w:r>
    </w:p>
    <w:p w:rsidR="0081542D" w:rsidRDefault="0081542D" w:rsidP="0081542D">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Gayrimenkul alım tercihlerinde, maliyet - getiri analizleri, genel ekonomik ve sosyal durum, kur ve finansman riski gibi çok katmanlı birçok husus rol almaktadır. Son dönemde kamu bankaları aracılığıyla hayata geçirilen kampanyalarla konut kredisi faiz oranları düşürülmüş, bu gelişmeyi </w:t>
      </w:r>
      <w:proofErr w:type="spellStart"/>
      <w:r>
        <w:rPr>
          <w:rFonts w:asciiTheme="minorHAnsi" w:hAnsiTheme="minorHAnsi" w:cstheme="minorHAnsi"/>
          <w:bCs/>
          <w:sz w:val="22"/>
          <w:szCs w:val="22"/>
        </w:rPr>
        <w:t>TCMB’nin</w:t>
      </w:r>
      <w:proofErr w:type="spellEnd"/>
      <w:r>
        <w:rPr>
          <w:rFonts w:asciiTheme="minorHAnsi" w:hAnsiTheme="minorHAnsi" w:cstheme="minorHAnsi"/>
          <w:bCs/>
          <w:sz w:val="22"/>
          <w:szCs w:val="22"/>
        </w:rPr>
        <w:t xml:space="preserve"> faiz oranında indirim kararlarının izlemesi, inşaat sektöründe finansman koşullarının kısmen iyileşme kaydetmesini sağlamıştır. Son olarak Ziraat Bankası, </w:t>
      </w:r>
      <w:proofErr w:type="spellStart"/>
      <w:r>
        <w:rPr>
          <w:rFonts w:asciiTheme="minorHAnsi" w:hAnsiTheme="minorHAnsi" w:cstheme="minorHAnsi"/>
          <w:bCs/>
          <w:sz w:val="22"/>
          <w:szCs w:val="22"/>
        </w:rPr>
        <w:t>Halkbank</w:t>
      </w:r>
      <w:proofErr w:type="spellEnd"/>
      <w:r>
        <w:rPr>
          <w:rFonts w:asciiTheme="minorHAnsi" w:hAnsiTheme="minorHAnsi" w:cstheme="minorHAnsi"/>
          <w:bCs/>
          <w:sz w:val="22"/>
          <w:szCs w:val="22"/>
        </w:rPr>
        <w:t xml:space="preserve"> ve Vakıfbank, konut kredisi faizlerinde Ağustos ayında gerçekleştirilen indirimden önce kredi kullanan ve mevcut kredi bakiyesi 500 bin liranın altında olan müşterilerine, kredilerini aylık yüzde 0,99 faiz oranıyla yenileme imkânı da sunmuştur.   </w:t>
      </w:r>
    </w:p>
    <w:p w:rsidR="0081542D" w:rsidRDefault="0081542D" w:rsidP="0081542D">
      <w:pPr>
        <w:pStyle w:val="NormalWeb"/>
        <w:jc w:val="both"/>
        <w:rPr>
          <w:rFonts w:asciiTheme="minorHAnsi" w:hAnsiTheme="minorHAnsi" w:cstheme="minorHAnsi"/>
          <w:bCs/>
          <w:sz w:val="22"/>
          <w:szCs w:val="22"/>
        </w:rPr>
      </w:pPr>
      <w:r>
        <w:rPr>
          <w:rFonts w:asciiTheme="minorHAnsi" w:hAnsiTheme="minorHAnsi" w:cstheme="minorHAnsi"/>
          <w:bCs/>
          <w:sz w:val="22"/>
          <w:szCs w:val="22"/>
        </w:rPr>
        <w:t xml:space="preserve">Ancak yurtiçinde harcanabilir gelirdeki daralma, enflasyonda </w:t>
      </w:r>
      <w:proofErr w:type="gramStart"/>
      <w:r>
        <w:rPr>
          <w:rFonts w:asciiTheme="minorHAnsi" w:hAnsiTheme="minorHAnsi" w:cstheme="minorHAnsi"/>
          <w:bCs/>
          <w:sz w:val="22"/>
          <w:szCs w:val="22"/>
        </w:rPr>
        <w:t>baz</w:t>
      </w:r>
      <w:proofErr w:type="gramEnd"/>
      <w:r>
        <w:rPr>
          <w:rFonts w:asciiTheme="minorHAnsi" w:hAnsiTheme="minorHAnsi" w:cstheme="minorHAnsi"/>
          <w:bCs/>
          <w:sz w:val="22"/>
          <w:szCs w:val="22"/>
        </w:rPr>
        <w:t xml:space="preserve"> etkisiyle yaşanmakta olan mevcut düşüş eğiliminin yılsonunda tekrar tersine dönmesi ve ekonominin gidişatına yönelik güvensizliğin artması gibi gelişmeler talebi önümüzdeki dönemde de sınırlayabilecek unsurlar arasında yer almaktadır. </w:t>
      </w:r>
    </w:p>
    <w:p w:rsidR="0081542D" w:rsidRDefault="0081542D" w:rsidP="0081542D">
      <w:pPr>
        <w:spacing w:after="0" w:line="240" w:lineRule="auto"/>
        <w:jc w:val="both"/>
        <w:rPr>
          <w:rFonts w:eastAsia="Times New Roman" w:cs="Calibri"/>
          <w:b/>
          <w:color w:val="632423"/>
          <w:sz w:val="24"/>
          <w:szCs w:val="24"/>
        </w:rPr>
      </w:pPr>
      <w:r w:rsidRPr="000242F7">
        <w:rPr>
          <w:rFonts w:eastAsia="Times New Roman" w:cs="Calibri"/>
        </w:rPr>
        <w:t>Diğer taraftan, Türkiye’de konutta kredi imkânlarının, daha geniş toplum kesimlerinin kullanımına uygun hale getirilmesi ihtiyacı uzun zamandır dile getirilmekte; bu çerçevede tüketicilerin yanı sıra yatırımcılar için de alternatif finansman yöntemlerine ihtiyaç olduğu ve sektörün ihtiyaç duyduğu yabancı fonların Türkiye'ye gelmesinin yolunun açılması gerektiği de belirtilmektedir.</w:t>
      </w:r>
    </w:p>
    <w:p w:rsidR="00457297" w:rsidRDefault="00457297" w:rsidP="0081542D">
      <w:pPr>
        <w:spacing w:after="0" w:line="240" w:lineRule="auto"/>
        <w:jc w:val="both"/>
        <w:rPr>
          <w:rFonts w:eastAsia="Times New Roman" w:cs="Calibri"/>
          <w:b/>
          <w:color w:val="632423"/>
          <w:sz w:val="24"/>
          <w:szCs w:val="24"/>
        </w:rPr>
      </w:pPr>
    </w:p>
    <w:p w:rsidR="0081542D" w:rsidRPr="00924407" w:rsidRDefault="0081542D" w:rsidP="0081542D">
      <w:pPr>
        <w:spacing w:after="0" w:line="240" w:lineRule="auto"/>
        <w:jc w:val="both"/>
        <w:rPr>
          <w:rFonts w:eastAsia="Times New Roman" w:cs="Calibri"/>
          <w:b/>
          <w:i/>
          <w:color w:val="632423"/>
          <w:sz w:val="24"/>
          <w:szCs w:val="24"/>
        </w:rPr>
      </w:pPr>
      <w:r w:rsidRPr="00924407">
        <w:rPr>
          <w:rFonts w:eastAsia="Times New Roman" w:cs="Calibri"/>
          <w:b/>
          <w:color w:val="632423"/>
          <w:sz w:val="24"/>
          <w:szCs w:val="24"/>
        </w:rPr>
        <w:t>Yurtdışı Müteahhitlik Hizmetleri</w:t>
      </w:r>
      <w:r>
        <w:rPr>
          <w:rFonts w:eastAsia="Times New Roman" w:cs="Calibri"/>
          <w:b/>
          <w:i/>
          <w:color w:val="632423"/>
          <w:sz w:val="24"/>
          <w:szCs w:val="24"/>
        </w:rPr>
        <w:tab/>
        <w:t xml:space="preserve">                 </w:t>
      </w:r>
      <w:r w:rsidRPr="00924407">
        <w:rPr>
          <w:rFonts w:eastAsia="Times New Roman" w:cs="Calibri"/>
          <w:b/>
          <w:i/>
          <w:color w:val="632423"/>
          <w:sz w:val="24"/>
          <w:szCs w:val="24"/>
        </w:rPr>
        <w:t xml:space="preserve"> </w:t>
      </w:r>
      <w:r>
        <w:rPr>
          <w:rFonts w:eastAsia="Times New Roman" w:cs="Calibri"/>
          <w:b/>
          <w:i/>
          <w:color w:val="632423"/>
          <w:sz w:val="24"/>
          <w:szCs w:val="24"/>
        </w:rPr>
        <w:t xml:space="preserve">                </w:t>
      </w:r>
      <w:r w:rsidR="00B1470D">
        <w:rPr>
          <w:rFonts w:eastAsia="Times New Roman" w:cs="Calibri"/>
          <w:b/>
          <w:i/>
          <w:color w:val="632423"/>
          <w:sz w:val="24"/>
          <w:szCs w:val="24"/>
        </w:rPr>
        <w:t xml:space="preserve"> </w:t>
      </w:r>
      <w:r>
        <w:rPr>
          <w:rFonts w:eastAsia="Times New Roman" w:cs="Calibri"/>
          <w:b/>
          <w:i/>
          <w:color w:val="632423"/>
          <w:sz w:val="24"/>
          <w:szCs w:val="24"/>
        </w:rPr>
        <w:t xml:space="preserve">          Dünya liginde ikincilik korundu </w:t>
      </w:r>
    </w:p>
    <w:p w:rsidR="0081542D" w:rsidRPr="00924407" w:rsidRDefault="0081542D" w:rsidP="0081542D">
      <w:pPr>
        <w:spacing w:after="0" w:line="240" w:lineRule="auto"/>
        <w:jc w:val="both"/>
        <w:rPr>
          <w:rFonts w:eastAsia="Times New Roman" w:cs="Calibri"/>
          <w:b/>
          <w:i/>
          <w:color w:val="632423"/>
          <w:sz w:val="24"/>
          <w:szCs w:val="24"/>
        </w:rPr>
      </w:pPr>
    </w:p>
    <w:p w:rsidR="0081542D" w:rsidRPr="00A05488" w:rsidRDefault="0081542D" w:rsidP="0081542D">
      <w:pPr>
        <w:spacing w:after="0" w:line="240" w:lineRule="auto"/>
        <w:jc w:val="both"/>
        <w:rPr>
          <w:rFonts w:cstheme="minorHAnsi"/>
          <w:bCs/>
        </w:rPr>
      </w:pPr>
      <w:r w:rsidRPr="00A05488">
        <w:rPr>
          <w:rFonts w:cstheme="minorHAnsi"/>
          <w:bCs/>
        </w:rPr>
        <w:t xml:space="preserve">Türk </w:t>
      </w:r>
      <w:proofErr w:type="gramStart"/>
      <w:r w:rsidRPr="00A05488">
        <w:rPr>
          <w:rFonts w:cstheme="minorHAnsi"/>
          <w:bCs/>
        </w:rPr>
        <w:t>müteahhitlik</w:t>
      </w:r>
      <w:proofErr w:type="gramEnd"/>
      <w:r w:rsidRPr="00A05488">
        <w:rPr>
          <w:rFonts w:cstheme="minorHAnsi"/>
          <w:bCs/>
        </w:rPr>
        <w:t xml:space="preserve"> firmaları, 2019 yılı Ocak - </w:t>
      </w:r>
      <w:r w:rsidR="00106B37">
        <w:rPr>
          <w:rFonts w:cstheme="minorHAnsi"/>
          <w:bCs/>
        </w:rPr>
        <w:t>Eylül</w:t>
      </w:r>
      <w:r w:rsidR="00106B37" w:rsidRPr="00A05488">
        <w:rPr>
          <w:rFonts w:cstheme="minorHAnsi"/>
          <w:bCs/>
        </w:rPr>
        <w:t xml:space="preserve"> </w:t>
      </w:r>
      <w:r w:rsidRPr="00A05488">
        <w:rPr>
          <w:rFonts w:cstheme="minorHAnsi"/>
          <w:bCs/>
        </w:rPr>
        <w:t xml:space="preserve">döneminde yurtdışında </w:t>
      </w:r>
      <w:r w:rsidR="00106B37">
        <w:rPr>
          <w:rFonts w:cstheme="minorHAnsi"/>
          <w:bCs/>
        </w:rPr>
        <w:t>7,5</w:t>
      </w:r>
      <w:r w:rsidRPr="00A05488">
        <w:rPr>
          <w:rFonts w:cstheme="minorHAnsi"/>
          <w:bCs/>
        </w:rPr>
        <w:t xml:space="preserve"> milyar ABD Doları tutarında toplam </w:t>
      </w:r>
      <w:r>
        <w:rPr>
          <w:rFonts w:cstheme="minorHAnsi"/>
          <w:bCs/>
        </w:rPr>
        <w:t>151</w:t>
      </w:r>
      <w:r w:rsidRPr="00A05488">
        <w:rPr>
          <w:rFonts w:cstheme="minorHAnsi"/>
          <w:bCs/>
        </w:rPr>
        <w:t xml:space="preserve"> proje üstlenmiştir. Böylece yurtdışı </w:t>
      </w:r>
      <w:proofErr w:type="gramStart"/>
      <w:r w:rsidRPr="00A05488">
        <w:rPr>
          <w:rFonts w:cstheme="minorHAnsi"/>
          <w:bCs/>
        </w:rPr>
        <w:t>müteahhitlik</w:t>
      </w:r>
      <w:proofErr w:type="gramEnd"/>
      <w:r w:rsidRPr="00A05488">
        <w:rPr>
          <w:rFonts w:cstheme="minorHAnsi"/>
          <w:bCs/>
        </w:rPr>
        <w:t xml:space="preserve"> hizmetleri kapsamında bugüne kadar </w:t>
      </w:r>
      <w:r>
        <w:rPr>
          <w:rFonts w:cstheme="minorHAnsi"/>
          <w:bCs/>
        </w:rPr>
        <w:t>üstlenilen proje sayısı 9.800’e,</w:t>
      </w:r>
      <w:r w:rsidRPr="00A05488">
        <w:rPr>
          <w:rFonts w:cstheme="minorHAnsi"/>
          <w:bCs/>
        </w:rPr>
        <w:t xml:space="preserve"> toplam proje tutarı</w:t>
      </w:r>
      <w:r>
        <w:rPr>
          <w:rFonts w:cstheme="minorHAnsi"/>
          <w:bCs/>
        </w:rPr>
        <w:t xml:space="preserve"> da 387</w:t>
      </w:r>
      <w:r w:rsidR="006D5388">
        <w:rPr>
          <w:rFonts w:cstheme="minorHAnsi"/>
          <w:bCs/>
        </w:rPr>
        <w:t>,6</w:t>
      </w:r>
      <w:r w:rsidRPr="00A05488">
        <w:rPr>
          <w:rFonts w:cstheme="minorHAnsi"/>
          <w:bCs/>
        </w:rPr>
        <w:t xml:space="preserve"> milyar ABD Doları’na ulaşmıştır. </w:t>
      </w:r>
    </w:p>
    <w:p w:rsidR="0081542D" w:rsidRDefault="0081542D" w:rsidP="0081542D">
      <w:pPr>
        <w:spacing w:after="0" w:line="240" w:lineRule="auto"/>
        <w:jc w:val="both"/>
        <w:rPr>
          <w:rFonts w:cstheme="minorHAnsi"/>
          <w:bCs/>
        </w:rPr>
      </w:pPr>
    </w:p>
    <w:p w:rsidR="0081542D" w:rsidRDefault="0081542D" w:rsidP="0081542D">
      <w:pPr>
        <w:spacing w:after="0" w:line="240" w:lineRule="auto"/>
        <w:jc w:val="both"/>
        <w:rPr>
          <w:rFonts w:cstheme="minorHAnsi"/>
          <w:bCs/>
        </w:rPr>
      </w:pPr>
      <w:r>
        <w:rPr>
          <w:rFonts w:cstheme="minorHAnsi"/>
          <w:bCs/>
        </w:rPr>
        <w:t xml:space="preserve">Yurtdışı </w:t>
      </w:r>
      <w:proofErr w:type="gramStart"/>
      <w:r w:rsidRPr="0053670F">
        <w:rPr>
          <w:rFonts w:cstheme="minorHAnsi"/>
          <w:bCs/>
        </w:rPr>
        <w:t>müteahhitlik</w:t>
      </w:r>
      <w:proofErr w:type="gramEnd"/>
      <w:r w:rsidRPr="0053670F">
        <w:rPr>
          <w:rFonts w:cstheme="minorHAnsi"/>
          <w:bCs/>
        </w:rPr>
        <w:t xml:space="preserve"> hizmetlerinin başladığı 1972 yılından bu yana projelerin dağılımında ilk 5 ülke Ru</w:t>
      </w:r>
      <w:r w:rsidR="0053670F" w:rsidRPr="0053670F">
        <w:rPr>
          <w:rFonts w:cstheme="minorHAnsi"/>
          <w:bCs/>
        </w:rPr>
        <w:t>sya (%19,6), Türkmenistan (%12,4</w:t>
      </w:r>
      <w:r w:rsidRPr="0053670F">
        <w:rPr>
          <w:rFonts w:cstheme="minorHAnsi"/>
          <w:bCs/>
        </w:rPr>
        <w:t>), Libya (%7,5), Irak (%6</w:t>
      </w:r>
      <w:r w:rsidR="0053670F" w:rsidRPr="0053670F">
        <w:rPr>
          <w:rFonts w:cstheme="minorHAnsi"/>
          <w:bCs/>
        </w:rPr>
        <w:t>,7</w:t>
      </w:r>
      <w:r w:rsidRPr="0053670F">
        <w:rPr>
          <w:rFonts w:cstheme="minorHAnsi"/>
          <w:bCs/>
        </w:rPr>
        <w:t>) ve Kazakistan (%6,6)</w:t>
      </w:r>
      <w:r w:rsidRPr="0053670F">
        <w:rPr>
          <w:rFonts w:cstheme="minorHAnsi"/>
          <w:b/>
          <w:bCs/>
        </w:rPr>
        <w:t xml:space="preserve"> </w:t>
      </w:r>
      <w:r w:rsidRPr="0053670F">
        <w:rPr>
          <w:rFonts w:cstheme="minorHAnsi"/>
          <w:bCs/>
        </w:rPr>
        <w:t xml:space="preserve">olmuştur. Lider </w:t>
      </w:r>
      <w:r w:rsidR="0053670F" w:rsidRPr="0053670F">
        <w:rPr>
          <w:rFonts w:cstheme="minorHAnsi"/>
          <w:bCs/>
        </w:rPr>
        <w:t>pazar Rusya’dan bu yılın ilk 9 ayında alınan proje sayısı 9</w:t>
      </w:r>
      <w:r w:rsidRPr="0053670F">
        <w:rPr>
          <w:rFonts w:cstheme="minorHAnsi"/>
          <w:bCs/>
        </w:rPr>
        <w:t>, proje tutarı ise 2,</w:t>
      </w:r>
      <w:r w:rsidR="0053670F" w:rsidRPr="0053670F">
        <w:rPr>
          <w:rFonts w:cstheme="minorHAnsi"/>
          <w:bCs/>
        </w:rPr>
        <w:t>7</w:t>
      </w:r>
      <w:r w:rsidRPr="0053670F">
        <w:rPr>
          <w:rFonts w:cstheme="minorHAnsi"/>
          <w:bCs/>
        </w:rPr>
        <w:t xml:space="preserve"> milyar ABD Doları olmuştur.</w:t>
      </w:r>
    </w:p>
    <w:p w:rsidR="0053670F" w:rsidRDefault="0053670F" w:rsidP="0081542D">
      <w:pPr>
        <w:pStyle w:val="NormalWeb"/>
        <w:spacing w:before="0" w:beforeAutospacing="0" w:after="0" w:afterAutospacing="0"/>
        <w:jc w:val="both"/>
        <w:rPr>
          <w:rFonts w:asciiTheme="minorHAnsi" w:hAnsiTheme="minorHAnsi" w:cstheme="minorHAnsi"/>
          <w:b/>
          <w:bCs/>
          <w:sz w:val="22"/>
          <w:szCs w:val="22"/>
        </w:rPr>
      </w:pPr>
    </w:p>
    <w:p w:rsidR="00E141F7" w:rsidRDefault="00E141F7" w:rsidP="0081542D">
      <w:pPr>
        <w:pStyle w:val="NormalWeb"/>
        <w:spacing w:before="0" w:beforeAutospacing="0" w:after="0" w:afterAutospacing="0"/>
        <w:jc w:val="both"/>
        <w:rPr>
          <w:rFonts w:asciiTheme="minorHAnsi" w:hAnsiTheme="minorHAnsi" w:cstheme="minorHAnsi"/>
          <w:b/>
          <w:bCs/>
          <w:sz w:val="22"/>
          <w:szCs w:val="22"/>
        </w:rPr>
      </w:pPr>
    </w:p>
    <w:p w:rsidR="00E141F7" w:rsidRDefault="00E141F7" w:rsidP="0081542D">
      <w:pPr>
        <w:pStyle w:val="NormalWeb"/>
        <w:spacing w:before="0" w:beforeAutospacing="0" w:after="0" w:afterAutospacing="0"/>
        <w:jc w:val="both"/>
        <w:rPr>
          <w:rFonts w:asciiTheme="minorHAnsi" w:hAnsiTheme="minorHAnsi" w:cstheme="minorHAnsi"/>
          <w:b/>
          <w:bCs/>
          <w:sz w:val="22"/>
          <w:szCs w:val="22"/>
        </w:rPr>
      </w:pPr>
    </w:p>
    <w:p w:rsidR="0081542D" w:rsidRPr="00F62221" w:rsidRDefault="0081542D" w:rsidP="0081542D">
      <w:pPr>
        <w:pStyle w:val="NormalWeb"/>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lastRenderedPageBreak/>
        <w:t>Yurtdışı Müteahhitlik Hizmetlerinde Yıllara Göre Seyir</w:t>
      </w:r>
    </w:p>
    <w:p w:rsidR="0081542D" w:rsidRDefault="0081542D" w:rsidP="0081542D">
      <w:pPr>
        <w:pStyle w:val="NormalWeb"/>
        <w:spacing w:before="0" w:beforeAutospacing="0" w:after="0" w:afterAutospacing="0"/>
        <w:jc w:val="both"/>
        <w:rPr>
          <w:rFonts w:asciiTheme="minorHAnsi" w:hAnsiTheme="minorHAnsi" w:cstheme="minorHAnsi"/>
          <w:b/>
          <w:bCs/>
          <w:noProof/>
          <w:sz w:val="22"/>
          <w:szCs w:val="22"/>
        </w:rPr>
      </w:pPr>
      <w:r w:rsidRPr="00F62221">
        <w:rPr>
          <w:rFonts w:asciiTheme="minorHAnsi" w:hAnsiTheme="minorHAnsi" w:cstheme="minorHAnsi"/>
          <w:b/>
          <w:bCs/>
          <w:sz w:val="22"/>
          <w:szCs w:val="22"/>
        </w:rPr>
        <w:t xml:space="preserve"> </w:t>
      </w:r>
    </w:p>
    <w:p w:rsidR="001541EF" w:rsidRPr="00F62221" w:rsidRDefault="001541EF" w:rsidP="0081542D">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extent cx="6048281" cy="2736000"/>
            <wp:effectExtent l="19050" t="0" r="0" b="0"/>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050211" cy="2736873"/>
                    </a:xfrm>
                    <a:prstGeom prst="rect">
                      <a:avLst/>
                    </a:prstGeom>
                    <a:noFill/>
                  </pic:spPr>
                </pic:pic>
              </a:graphicData>
            </a:graphic>
          </wp:inline>
        </w:drawing>
      </w:r>
    </w:p>
    <w:p w:rsidR="0081542D" w:rsidRDefault="0081542D" w:rsidP="0081542D">
      <w:pPr>
        <w:pStyle w:val="NormalWeb"/>
        <w:spacing w:before="0" w:beforeAutospacing="0" w:after="0" w:afterAutospacing="0"/>
        <w:jc w:val="both"/>
        <w:rPr>
          <w:rFonts w:asciiTheme="minorHAnsi" w:hAnsiTheme="minorHAnsi" w:cstheme="minorHAnsi"/>
          <w:b/>
          <w:bCs/>
          <w:i/>
          <w:sz w:val="20"/>
          <w:szCs w:val="20"/>
        </w:rPr>
      </w:pPr>
    </w:p>
    <w:p w:rsidR="0081542D" w:rsidRDefault="0081542D" w:rsidP="0081542D">
      <w:pPr>
        <w:pStyle w:val="NormalWeb"/>
        <w:spacing w:before="0" w:beforeAutospacing="0" w:after="0" w:afterAutospacing="0"/>
        <w:jc w:val="both"/>
        <w:rPr>
          <w:rFonts w:asciiTheme="minorHAnsi" w:hAnsiTheme="minorHAnsi" w:cstheme="minorHAnsi"/>
          <w:b/>
          <w:bCs/>
          <w:i/>
          <w:sz w:val="20"/>
          <w:szCs w:val="20"/>
        </w:rPr>
      </w:pPr>
      <w:r w:rsidRPr="00F62221">
        <w:rPr>
          <w:rFonts w:asciiTheme="minorHAnsi" w:hAnsiTheme="minorHAnsi" w:cstheme="minorHAnsi"/>
          <w:b/>
          <w:bCs/>
          <w:i/>
          <w:sz w:val="20"/>
          <w:szCs w:val="20"/>
        </w:rPr>
        <w:t>Kaynak: Ticaret Bakanlığı</w:t>
      </w:r>
    </w:p>
    <w:p w:rsidR="009404A3" w:rsidRDefault="009404A3" w:rsidP="0081542D">
      <w:pPr>
        <w:pStyle w:val="NormalWeb"/>
        <w:spacing w:before="0" w:beforeAutospacing="0" w:after="0" w:afterAutospacing="0"/>
        <w:jc w:val="both"/>
        <w:rPr>
          <w:rFonts w:asciiTheme="minorHAnsi" w:hAnsiTheme="minorHAnsi" w:cstheme="minorHAnsi"/>
          <w:b/>
          <w:bCs/>
          <w:i/>
          <w:sz w:val="20"/>
          <w:szCs w:val="20"/>
        </w:rPr>
      </w:pPr>
    </w:p>
    <w:p w:rsidR="005F6473" w:rsidRDefault="005F6473" w:rsidP="005F6473">
      <w:pPr>
        <w:spacing w:after="0" w:line="240" w:lineRule="auto"/>
        <w:jc w:val="both"/>
        <w:rPr>
          <w:rFonts w:cstheme="minorHAnsi"/>
          <w:bCs/>
        </w:rPr>
      </w:pPr>
      <w:r w:rsidRPr="009D4E31">
        <w:rPr>
          <w:rFonts w:cstheme="minorHAnsi"/>
          <w:bCs/>
        </w:rPr>
        <w:t xml:space="preserve">Firmaların yurtdışındaki performanslarının geçmiş yıllardaki seyrine bakıldığında;  2012 - 2015 döneminde yıllık 30 milyar ABD Doları ile en yüksek seviyelere ulaşıldığı görülmektedir. Ancak dünyadaki siyasi ve ekonomik gelişmeler, petrol fiyatlarındaki gerileme ve Rusya pazarında yaşanan sorunların etkisi ile bu rakam, 2016 - 2017 döneminde 14 milyar ABD Doları/yıl mertebesine kadar inmiştir. Türk </w:t>
      </w:r>
      <w:proofErr w:type="gramStart"/>
      <w:r w:rsidRPr="009D4E31">
        <w:rPr>
          <w:rFonts w:cstheme="minorHAnsi"/>
          <w:bCs/>
        </w:rPr>
        <w:t>müteahhitlerinin</w:t>
      </w:r>
      <w:proofErr w:type="gramEnd"/>
      <w:r w:rsidRPr="009D4E31">
        <w:rPr>
          <w:rFonts w:cstheme="minorHAnsi"/>
          <w:bCs/>
        </w:rPr>
        <w:t xml:space="preserve"> yurtdışında üstlendiği yıllık yeni iş tutarı,</w:t>
      </w:r>
      <w:r>
        <w:rPr>
          <w:rFonts w:cstheme="minorHAnsi"/>
          <w:bCs/>
        </w:rPr>
        <w:t xml:space="preserve"> son olarak 2018 yılında yeniden </w:t>
      </w:r>
      <w:r w:rsidRPr="009D4E31">
        <w:rPr>
          <w:rFonts w:cstheme="minorHAnsi"/>
          <w:bCs/>
        </w:rPr>
        <w:t>20 milyar ABD Doları’na ulaşmıştır.</w:t>
      </w:r>
    </w:p>
    <w:p w:rsidR="005F6473" w:rsidRDefault="005F6473" w:rsidP="002B3950">
      <w:pPr>
        <w:spacing w:after="0" w:line="240" w:lineRule="auto"/>
        <w:jc w:val="both"/>
        <w:rPr>
          <w:rFonts w:cs="Calibri"/>
        </w:rPr>
      </w:pPr>
    </w:p>
    <w:p w:rsidR="002B3950" w:rsidRDefault="002B3950" w:rsidP="002B3950">
      <w:pPr>
        <w:spacing w:after="0" w:line="240" w:lineRule="auto"/>
        <w:jc w:val="both"/>
        <w:rPr>
          <w:rFonts w:cs="Calibri"/>
        </w:rPr>
      </w:pPr>
      <w:r>
        <w:rPr>
          <w:rFonts w:cs="Calibri"/>
        </w:rPr>
        <w:t>Uluslararası inşaat sektörü dergisi ENR (</w:t>
      </w:r>
      <w:proofErr w:type="spellStart"/>
      <w:r>
        <w:rPr>
          <w:rFonts w:cs="Calibri"/>
        </w:rPr>
        <w:t>Engi</w:t>
      </w:r>
      <w:r w:rsidR="00C25A44">
        <w:rPr>
          <w:rFonts w:cs="Calibri"/>
        </w:rPr>
        <w:t>neering</w:t>
      </w:r>
      <w:proofErr w:type="spellEnd"/>
      <w:r w:rsidR="00C25A44">
        <w:rPr>
          <w:rFonts w:cs="Calibri"/>
        </w:rPr>
        <w:t xml:space="preserve"> </w:t>
      </w:r>
      <w:proofErr w:type="spellStart"/>
      <w:r w:rsidR="00C25A44">
        <w:rPr>
          <w:rFonts w:cs="Calibri"/>
        </w:rPr>
        <w:t>News</w:t>
      </w:r>
      <w:proofErr w:type="spellEnd"/>
      <w:r w:rsidR="00C25A44">
        <w:rPr>
          <w:rFonts w:cs="Calibri"/>
        </w:rPr>
        <w:t xml:space="preserve"> </w:t>
      </w:r>
      <w:proofErr w:type="spellStart"/>
      <w:r w:rsidR="00C25A44">
        <w:rPr>
          <w:rFonts w:cs="Calibri"/>
        </w:rPr>
        <w:t>Record</w:t>
      </w:r>
      <w:proofErr w:type="spellEnd"/>
      <w:r w:rsidR="00C25A44">
        <w:rPr>
          <w:rFonts w:cs="Calibri"/>
        </w:rPr>
        <w:t>) tarafından</w:t>
      </w:r>
      <w:r>
        <w:rPr>
          <w:rFonts w:cs="Calibri"/>
        </w:rPr>
        <w:t xml:space="preserve"> her yıl Ağustos ayında açıklanan ve 2018 yılı verilerinin esas alındığı “Dünyanın En Büyük 250 Uluslararası Müteahhidi Listesi”nde </w:t>
      </w:r>
      <w:r w:rsidRPr="007445CA">
        <w:rPr>
          <w:rFonts w:cs="Calibri"/>
        </w:rPr>
        <w:t>Türkiye</w:t>
      </w:r>
      <w:r>
        <w:rPr>
          <w:rFonts w:cs="Calibri"/>
        </w:rPr>
        <w:t>,</w:t>
      </w:r>
      <w:r w:rsidRPr="007445CA">
        <w:rPr>
          <w:rFonts w:cs="Calibri"/>
        </w:rPr>
        <w:t xml:space="preserve"> </w:t>
      </w:r>
      <w:r>
        <w:rPr>
          <w:rFonts w:cs="Calibri"/>
        </w:rPr>
        <w:t xml:space="preserve"> 44 firma ile Çin’in ardından dünya ikinciliğini korumuştur. </w:t>
      </w:r>
      <w:r w:rsidRPr="00B95775">
        <w:rPr>
          <w:rFonts w:cs="Calibri"/>
        </w:rPr>
        <w:t>ENR liste</w:t>
      </w:r>
      <w:r w:rsidRPr="00D248E6">
        <w:rPr>
          <w:rFonts w:cstheme="minorHAnsi"/>
          <w:bCs/>
        </w:rPr>
        <w:t xml:space="preserve"> Listedeki Türk firmalarının toplam pazar payı ise %4</w:t>
      </w:r>
      <w:r w:rsidR="00C25A44">
        <w:rPr>
          <w:rFonts w:cstheme="minorHAnsi"/>
          <w:bCs/>
        </w:rPr>
        <w:t>,</w:t>
      </w:r>
      <w:r w:rsidRPr="00D248E6">
        <w:rPr>
          <w:rFonts w:cstheme="minorHAnsi"/>
          <w:bCs/>
        </w:rPr>
        <w:t xml:space="preserve">6 olmuştur. Türk </w:t>
      </w:r>
      <w:proofErr w:type="gramStart"/>
      <w:r w:rsidRPr="00D248E6">
        <w:rPr>
          <w:rFonts w:cstheme="minorHAnsi"/>
          <w:bCs/>
        </w:rPr>
        <w:t>müteahhitlerinin</w:t>
      </w:r>
      <w:proofErr w:type="gramEnd"/>
      <w:r w:rsidRPr="00D248E6">
        <w:rPr>
          <w:rFonts w:cstheme="minorHAnsi"/>
          <w:bCs/>
        </w:rPr>
        <w:t xml:space="preserve"> bölgesel gelirlerdeki payı ana pazarlar olan Ortadoğu'da %9</w:t>
      </w:r>
      <w:r w:rsidR="00C25A44">
        <w:rPr>
          <w:rFonts w:cstheme="minorHAnsi"/>
          <w:bCs/>
        </w:rPr>
        <w:t>,</w:t>
      </w:r>
      <w:r w:rsidRPr="00D248E6">
        <w:rPr>
          <w:rFonts w:cstheme="minorHAnsi"/>
          <w:bCs/>
        </w:rPr>
        <w:t>7’den %10</w:t>
      </w:r>
      <w:r w:rsidR="00C25A44">
        <w:rPr>
          <w:rFonts w:cstheme="minorHAnsi"/>
          <w:bCs/>
        </w:rPr>
        <w:t>,</w:t>
      </w:r>
      <w:r w:rsidRPr="00D248E6">
        <w:rPr>
          <w:rFonts w:cstheme="minorHAnsi"/>
          <w:bCs/>
        </w:rPr>
        <w:t>4’e yükselirken, Asya'da %4'ten %2</w:t>
      </w:r>
      <w:r w:rsidR="00C25A44">
        <w:rPr>
          <w:rFonts w:cstheme="minorHAnsi"/>
          <w:bCs/>
        </w:rPr>
        <w:t>,</w:t>
      </w:r>
      <w:r w:rsidRPr="00D248E6">
        <w:rPr>
          <w:rFonts w:cstheme="minorHAnsi"/>
          <w:bCs/>
        </w:rPr>
        <w:t>1’e gerilemiştir. Firmalarımızın pazar payı</w:t>
      </w:r>
      <w:r w:rsidR="00C25A44">
        <w:rPr>
          <w:rFonts w:cstheme="minorHAnsi"/>
          <w:bCs/>
        </w:rPr>
        <w:t>, Afrika'da çok değişmeyerek %5,</w:t>
      </w:r>
      <w:r w:rsidRPr="00D248E6">
        <w:rPr>
          <w:rFonts w:cstheme="minorHAnsi"/>
          <w:bCs/>
        </w:rPr>
        <w:t>6 olurken Avrupa’da ise sınırlı bir artışla %7’ye ulaşılmıştır.</w:t>
      </w:r>
      <w:r w:rsidR="00C25A44">
        <w:rPr>
          <w:rFonts w:cstheme="minorHAnsi"/>
          <w:bCs/>
        </w:rPr>
        <w:t xml:space="preserve"> Listede yer alan</w:t>
      </w:r>
      <w:r>
        <w:rPr>
          <w:rFonts w:cs="Calibri"/>
        </w:rPr>
        <w:t xml:space="preserve"> </w:t>
      </w:r>
      <w:r w:rsidRPr="00B95775">
        <w:rPr>
          <w:rFonts w:cs="Calibri"/>
        </w:rPr>
        <w:t>44</w:t>
      </w:r>
      <w:r>
        <w:rPr>
          <w:rFonts w:cs="Calibri"/>
        </w:rPr>
        <w:t xml:space="preserve"> Türk firmasının 40’ı TMB üyesidir.  </w:t>
      </w:r>
    </w:p>
    <w:p w:rsidR="002B3950" w:rsidRDefault="002B3950" w:rsidP="002B3950">
      <w:pPr>
        <w:spacing w:after="0" w:line="240" w:lineRule="auto"/>
        <w:jc w:val="both"/>
        <w:rPr>
          <w:rFonts w:cs="Calibri"/>
        </w:rPr>
      </w:pPr>
    </w:p>
    <w:p w:rsidR="002B3950" w:rsidRPr="00D248E6" w:rsidRDefault="002B3950" w:rsidP="002B3950">
      <w:pPr>
        <w:spacing w:after="0" w:line="240" w:lineRule="auto"/>
        <w:jc w:val="both"/>
        <w:rPr>
          <w:rFonts w:cstheme="minorHAnsi"/>
          <w:bCs/>
        </w:rPr>
      </w:pPr>
      <w:proofErr w:type="spellStart"/>
      <w:r w:rsidRPr="00D248E6">
        <w:rPr>
          <w:rFonts w:cstheme="minorHAnsi"/>
          <w:bCs/>
        </w:rPr>
        <w:t>ENR’ın</w:t>
      </w:r>
      <w:proofErr w:type="spellEnd"/>
      <w:r>
        <w:rPr>
          <w:rFonts w:cstheme="minorHAnsi"/>
          <w:bCs/>
        </w:rPr>
        <w:t xml:space="preserve"> </w:t>
      </w:r>
      <w:r w:rsidRPr="00D248E6">
        <w:rPr>
          <w:rFonts w:cstheme="minorHAnsi"/>
          <w:bCs/>
        </w:rPr>
        <w:t>analiz</w:t>
      </w:r>
      <w:r>
        <w:rPr>
          <w:rFonts w:cstheme="minorHAnsi"/>
          <w:bCs/>
        </w:rPr>
        <w:t>in</w:t>
      </w:r>
      <w:r w:rsidRPr="00D248E6">
        <w:rPr>
          <w:rFonts w:cstheme="minorHAnsi"/>
          <w:bCs/>
        </w:rPr>
        <w:t>de, küresel ekonomik belirsizlikten en çok etkilenen sek</w:t>
      </w:r>
      <w:r>
        <w:rPr>
          <w:rFonts w:cstheme="minorHAnsi"/>
          <w:bCs/>
        </w:rPr>
        <w:t>törlerden olan inşaatta</w:t>
      </w:r>
      <w:r w:rsidRPr="00D248E6">
        <w:rPr>
          <w:rFonts w:cstheme="minorHAnsi"/>
          <w:bCs/>
        </w:rPr>
        <w:t xml:space="preserve"> durgunl</w:t>
      </w:r>
      <w:r>
        <w:rPr>
          <w:rFonts w:cstheme="minorHAnsi"/>
          <w:bCs/>
        </w:rPr>
        <w:t>uğun devam ettiği</w:t>
      </w:r>
      <w:r w:rsidRPr="00D248E6">
        <w:rPr>
          <w:rFonts w:cstheme="minorHAnsi"/>
          <w:bCs/>
        </w:rPr>
        <w:t xml:space="preserve"> ortaya ko</w:t>
      </w:r>
      <w:r>
        <w:rPr>
          <w:rFonts w:cstheme="minorHAnsi"/>
          <w:bCs/>
        </w:rPr>
        <w:t>nul</w:t>
      </w:r>
      <w:r w:rsidRPr="00D248E6">
        <w:rPr>
          <w:rFonts w:cstheme="minorHAnsi"/>
          <w:bCs/>
        </w:rPr>
        <w:t>maktadır. Uluslararası inşaat pazarında 2017 yılında gözlenen artışa rağmen ENR verilerine göre; 2018 yılında</w:t>
      </w:r>
      <w:r>
        <w:rPr>
          <w:rFonts w:cstheme="minorHAnsi"/>
          <w:bCs/>
        </w:rPr>
        <w:t xml:space="preserve"> pazar</w:t>
      </w:r>
      <w:r w:rsidRPr="00D248E6">
        <w:rPr>
          <w:rFonts w:cstheme="minorHAnsi"/>
          <w:bCs/>
        </w:rPr>
        <w:t xml:space="preserve"> büyüklüğü</w:t>
      </w:r>
      <w:r>
        <w:rPr>
          <w:rFonts w:cstheme="minorHAnsi"/>
          <w:bCs/>
        </w:rPr>
        <w:t>nün</w:t>
      </w:r>
      <w:r w:rsidRPr="00D248E6">
        <w:rPr>
          <w:rFonts w:cstheme="minorHAnsi"/>
          <w:bCs/>
        </w:rPr>
        <w:t xml:space="preserve"> yalnızca %1’lik artışla 482</w:t>
      </w:r>
      <w:r>
        <w:rPr>
          <w:rFonts w:cstheme="minorHAnsi"/>
          <w:bCs/>
        </w:rPr>
        <w:t>,</w:t>
      </w:r>
      <w:r w:rsidRPr="00D248E6">
        <w:rPr>
          <w:rFonts w:cstheme="minorHAnsi"/>
          <w:bCs/>
        </w:rPr>
        <w:t>4 milyar ABD Doları’ndan 487</w:t>
      </w:r>
      <w:r>
        <w:rPr>
          <w:rFonts w:cstheme="minorHAnsi"/>
          <w:bCs/>
        </w:rPr>
        <w:t>,3 milyar ABD Doları’na çıktığı anlaşılmaktadır</w:t>
      </w:r>
      <w:r w:rsidRPr="00D248E6">
        <w:rPr>
          <w:rFonts w:cstheme="minorHAnsi"/>
          <w:bCs/>
        </w:rPr>
        <w:t>.</w:t>
      </w:r>
    </w:p>
    <w:p w:rsidR="002B3950" w:rsidRDefault="002B3950" w:rsidP="0081542D">
      <w:pPr>
        <w:spacing w:after="0" w:line="240" w:lineRule="auto"/>
        <w:jc w:val="both"/>
        <w:rPr>
          <w:rFonts w:cstheme="minorHAnsi"/>
          <w:bCs/>
        </w:rPr>
      </w:pPr>
    </w:p>
    <w:p w:rsidR="0081542D" w:rsidRDefault="0081542D" w:rsidP="0081542D">
      <w:pPr>
        <w:spacing w:after="0" w:line="240" w:lineRule="auto"/>
        <w:jc w:val="both"/>
        <w:rPr>
          <w:rFonts w:cstheme="minorHAnsi"/>
          <w:bCs/>
        </w:rPr>
      </w:pPr>
      <w:r>
        <w:rPr>
          <w:rFonts w:cstheme="minorHAnsi"/>
          <w:bCs/>
        </w:rPr>
        <w:t xml:space="preserve">Yurtdışı </w:t>
      </w:r>
      <w:proofErr w:type="gramStart"/>
      <w:r>
        <w:rPr>
          <w:rFonts w:cstheme="minorHAnsi"/>
          <w:bCs/>
        </w:rPr>
        <w:t>müteahhitlik</w:t>
      </w:r>
      <w:proofErr w:type="gramEnd"/>
      <w:r>
        <w:rPr>
          <w:rFonts w:cstheme="minorHAnsi"/>
          <w:bCs/>
        </w:rPr>
        <w:t xml:space="preserve"> hizmetleri 2019 yılı sonu yeni proje tutarı hedefi olarak yeniden 20 milyar ABD Doları’na ulaşmaya yönelik çalışmalar sürüyor olsa da gerek küresel pazardaki daralma gerekse yurtiçinde yaşanan sorunların etkisiyle hedeften uzak kalındığı görülmektedir. Bu durumun büyük ölçüde küresel inşaat pazarında yaşanan durgunluk ve artan rekabet,  Türk firmalarının teminat mektubu başta olmak üze</w:t>
      </w:r>
      <w:r w:rsidR="00293693">
        <w:rPr>
          <w:rFonts w:cstheme="minorHAnsi"/>
          <w:bCs/>
        </w:rPr>
        <w:t>re ihtiyaç duydukları finansman</w:t>
      </w:r>
      <w:r>
        <w:rPr>
          <w:rFonts w:cstheme="minorHAnsi"/>
          <w:bCs/>
        </w:rPr>
        <w:t xml:space="preserve"> sorunundan kaynaklandığı değerlendirilmektedir.</w:t>
      </w:r>
    </w:p>
    <w:p w:rsidR="0081542D" w:rsidRDefault="0081542D" w:rsidP="0081542D">
      <w:pPr>
        <w:spacing w:after="0" w:line="240" w:lineRule="auto"/>
        <w:jc w:val="both"/>
        <w:rPr>
          <w:rFonts w:cs="Calibri"/>
        </w:rPr>
      </w:pPr>
    </w:p>
    <w:p w:rsidR="0081542D" w:rsidRPr="007445CA" w:rsidRDefault="0081542D" w:rsidP="0081542D">
      <w:pPr>
        <w:spacing w:after="0" w:line="240" w:lineRule="auto"/>
        <w:jc w:val="both"/>
        <w:rPr>
          <w:rFonts w:cs="Calibri"/>
        </w:rPr>
      </w:pPr>
      <w:r>
        <w:rPr>
          <w:rFonts w:cstheme="minorHAnsi"/>
          <w:bCs/>
        </w:rPr>
        <w:t xml:space="preserve">Önümüzdeki yıla ilişkin </w:t>
      </w:r>
      <w:proofErr w:type="gramStart"/>
      <w:r>
        <w:rPr>
          <w:rFonts w:cstheme="minorHAnsi"/>
          <w:bCs/>
        </w:rPr>
        <w:t>projeksiyonlarda</w:t>
      </w:r>
      <w:proofErr w:type="gramEnd"/>
      <w:r>
        <w:rPr>
          <w:rFonts w:cstheme="minorHAnsi"/>
          <w:bCs/>
        </w:rPr>
        <w:t xml:space="preserve">, yükselen petrol fiyatlarının Türk müteahhitlerinin referansının güçlü olduğu enerji ihracatçısı </w:t>
      </w:r>
      <w:r w:rsidR="002D2E83">
        <w:rPr>
          <w:rFonts w:cstheme="minorHAnsi"/>
          <w:bCs/>
        </w:rPr>
        <w:t>Ortadoğu</w:t>
      </w:r>
      <w:r>
        <w:rPr>
          <w:rFonts w:cstheme="minorHAnsi"/>
          <w:bCs/>
        </w:rPr>
        <w:t xml:space="preserve"> ve Avrasya ülkelerinde kalkınma planları ve altyapı projelerine olası yansıması ile müteahhitlik hizmetlerine katkı yapmasından bahsedilmektedir. </w:t>
      </w:r>
    </w:p>
    <w:p w:rsidR="0081542D" w:rsidRDefault="0081542D" w:rsidP="0081542D">
      <w:pPr>
        <w:pStyle w:val="NormalWeb"/>
        <w:spacing w:after="0"/>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Lider pazar Rusya ve barış ekonomisi sürecine geçiş potansiyeli taşıyan Irak, sektör için önümüzdeki dönemde önemini koruyacak olup; bu pazarlardaki iş hacminin artırılması ve sorunların çözümüne yönelik temaslar gündemdedir. Küresel inşaat harcamalarına katkı vermeye devam etmesi beklenen Gelişen Asya ve Hindistan pazarları da yakından takip edilmekte, son dönemde </w:t>
      </w:r>
      <w:r w:rsidRPr="00264F9B">
        <w:rPr>
          <w:rFonts w:asciiTheme="minorHAnsi" w:hAnsiTheme="minorHAnsi" w:cstheme="minorHAnsi"/>
          <w:bCs/>
          <w:sz w:val="22"/>
          <w:szCs w:val="22"/>
        </w:rPr>
        <w:t xml:space="preserve">yeni potansiyel pazarlar </w:t>
      </w:r>
      <w:r>
        <w:rPr>
          <w:rFonts w:asciiTheme="minorHAnsi" w:hAnsiTheme="minorHAnsi" w:cstheme="minorHAnsi"/>
          <w:bCs/>
          <w:sz w:val="22"/>
          <w:szCs w:val="22"/>
        </w:rPr>
        <w:t xml:space="preserve">arasında öne çıkan </w:t>
      </w:r>
      <w:r w:rsidRPr="00264F9B">
        <w:rPr>
          <w:rFonts w:asciiTheme="minorHAnsi" w:hAnsiTheme="minorHAnsi" w:cstheme="minorHAnsi"/>
          <w:bCs/>
          <w:sz w:val="22"/>
          <w:szCs w:val="22"/>
        </w:rPr>
        <w:t>Sahra</w:t>
      </w:r>
      <w:r>
        <w:rPr>
          <w:rFonts w:asciiTheme="minorHAnsi" w:hAnsiTheme="minorHAnsi" w:cstheme="minorHAnsi"/>
          <w:bCs/>
          <w:sz w:val="22"/>
          <w:szCs w:val="22"/>
        </w:rPr>
        <w:t xml:space="preserve"> </w:t>
      </w:r>
      <w:r w:rsidRPr="00264F9B">
        <w:rPr>
          <w:rFonts w:asciiTheme="minorHAnsi" w:hAnsiTheme="minorHAnsi" w:cstheme="minorHAnsi"/>
          <w:bCs/>
          <w:sz w:val="22"/>
          <w:szCs w:val="22"/>
        </w:rPr>
        <w:t>Altı Afrika ülkelerine yönelik çalışmalar</w:t>
      </w:r>
      <w:r>
        <w:rPr>
          <w:rFonts w:asciiTheme="minorHAnsi" w:hAnsiTheme="minorHAnsi" w:cstheme="minorHAnsi"/>
          <w:bCs/>
          <w:sz w:val="22"/>
          <w:szCs w:val="22"/>
        </w:rPr>
        <w:t xml:space="preserve"> </w:t>
      </w:r>
      <w:r w:rsidRPr="00264F9B">
        <w:rPr>
          <w:rFonts w:asciiTheme="minorHAnsi" w:hAnsiTheme="minorHAnsi" w:cstheme="minorHAnsi"/>
          <w:bCs/>
          <w:sz w:val="22"/>
          <w:szCs w:val="22"/>
        </w:rPr>
        <w:t xml:space="preserve">yoğun </w:t>
      </w:r>
      <w:r>
        <w:rPr>
          <w:rFonts w:asciiTheme="minorHAnsi" w:hAnsiTheme="minorHAnsi" w:cstheme="minorHAnsi"/>
          <w:bCs/>
          <w:sz w:val="22"/>
          <w:szCs w:val="22"/>
        </w:rPr>
        <w:t xml:space="preserve">biçimde sürmektedir. </w:t>
      </w:r>
    </w:p>
    <w:p w:rsidR="0081542D" w:rsidRDefault="0081542D" w:rsidP="0081542D">
      <w:pPr>
        <w:pStyle w:val="NormalWeb"/>
        <w:spacing w:after="0"/>
        <w:jc w:val="both"/>
        <w:rPr>
          <w:rFonts w:asciiTheme="minorHAnsi" w:hAnsiTheme="minorHAnsi" w:cstheme="minorHAnsi"/>
          <w:bCs/>
          <w:sz w:val="22"/>
          <w:szCs w:val="22"/>
        </w:rPr>
      </w:pPr>
      <w:r w:rsidRPr="00DC1A7C">
        <w:rPr>
          <w:rFonts w:asciiTheme="minorHAnsi" w:hAnsiTheme="minorHAnsi" w:cstheme="minorHAnsi"/>
          <w:bCs/>
          <w:sz w:val="22"/>
          <w:szCs w:val="22"/>
        </w:rPr>
        <w:t>Türk firmaları</w:t>
      </w:r>
      <w:r>
        <w:rPr>
          <w:rFonts w:asciiTheme="minorHAnsi" w:hAnsiTheme="minorHAnsi" w:cstheme="minorHAnsi"/>
          <w:bCs/>
          <w:sz w:val="22"/>
          <w:szCs w:val="22"/>
        </w:rPr>
        <w:t xml:space="preserve">nın, </w:t>
      </w:r>
      <w:r w:rsidRPr="00FA3A42">
        <w:rPr>
          <w:rFonts w:asciiTheme="minorHAnsi" w:hAnsiTheme="minorHAnsi" w:cstheme="minorHAnsi"/>
          <w:bCs/>
          <w:sz w:val="22"/>
          <w:szCs w:val="22"/>
        </w:rPr>
        <w:t xml:space="preserve">mühendislik, </w:t>
      </w:r>
      <w:proofErr w:type="gramStart"/>
      <w:r w:rsidRPr="00FA3A42">
        <w:rPr>
          <w:rFonts w:asciiTheme="minorHAnsi" w:hAnsiTheme="minorHAnsi" w:cstheme="minorHAnsi"/>
          <w:bCs/>
          <w:sz w:val="22"/>
          <w:szCs w:val="22"/>
        </w:rPr>
        <w:t>müteahhitlik</w:t>
      </w:r>
      <w:proofErr w:type="gramEnd"/>
      <w:r w:rsidRPr="00FA3A42">
        <w:rPr>
          <w:rFonts w:asciiTheme="minorHAnsi" w:hAnsiTheme="minorHAnsi" w:cstheme="minorHAnsi"/>
          <w:bCs/>
          <w:sz w:val="22"/>
          <w:szCs w:val="22"/>
        </w:rPr>
        <w:t xml:space="preserve"> ve inşaat malzemesi üretiminde son derece güçlü</w:t>
      </w:r>
      <w:r>
        <w:rPr>
          <w:rFonts w:asciiTheme="minorHAnsi" w:hAnsiTheme="minorHAnsi" w:cstheme="minorHAnsi"/>
          <w:bCs/>
          <w:sz w:val="22"/>
          <w:szCs w:val="22"/>
        </w:rPr>
        <w:t xml:space="preserve"> olan ve </w:t>
      </w:r>
      <w:r w:rsidRPr="00FA3A42">
        <w:rPr>
          <w:rFonts w:asciiTheme="minorHAnsi" w:hAnsiTheme="minorHAnsi" w:cstheme="minorHAnsi"/>
          <w:bCs/>
          <w:sz w:val="22"/>
          <w:szCs w:val="22"/>
        </w:rPr>
        <w:t>neredeyse her alanda altyapısını tamamla</w:t>
      </w:r>
      <w:r>
        <w:rPr>
          <w:rFonts w:asciiTheme="minorHAnsi" w:hAnsiTheme="minorHAnsi" w:cstheme="minorHAnsi"/>
          <w:bCs/>
          <w:sz w:val="22"/>
          <w:szCs w:val="22"/>
        </w:rPr>
        <w:t>yan</w:t>
      </w:r>
      <w:r w:rsidRPr="00FA3A42">
        <w:rPr>
          <w:rFonts w:asciiTheme="minorHAnsi" w:hAnsiTheme="minorHAnsi" w:cstheme="minorHAnsi"/>
          <w:bCs/>
          <w:sz w:val="22"/>
          <w:szCs w:val="22"/>
        </w:rPr>
        <w:t xml:space="preserve"> Avrupa </w:t>
      </w:r>
      <w:r>
        <w:rPr>
          <w:rFonts w:asciiTheme="minorHAnsi" w:hAnsiTheme="minorHAnsi" w:cstheme="minorHAnsi"/>
          <w:bCs/>
          <w:sz w:val="22"/>
          <w:szCs w:val="22"/>
        </w:rPr>
        <w:t xml:space="preserve">ülkelerinde son dönemde </w:t>
      </w:r>
      <w:r w:rsidRPr="00FA3A42">
        <w:rPr>
          <w:rFonts w:asciiTheme="minorHAnsi" w:hAnsiTheme="minorHAnsi" w:cstheme="minorHAnsi"/>
          <w:bCs/>
          <w:sz w:val="22"/>
          <w:szCs w:val="22"/>
        </w:rPr>
        <w:t>önemli projeler üstlen</w:t>
      </w:r>
      <w:r>
        <w:rPr>
          <w:rFonts w:asciiTheme="minorHAnsi" w:hAnsiTheme="minorHAnsi" w:cstheme="minorHAnsi"/>
          <w:bCs/>
          <w:sz w:val="22"/>
          <w:szCs w:val="22"/>
        </w:rPr>
        <w:t xml:space="preserve">meleri </w:t>
      </w:r>
      <w:r w:rsidRPr="00B95775">
        <w:rPr>
          <w:rFonts w:asciiTheme="minorHAnsi" w:hAnsiTheme="minorHAnsi" w:cstheme="minorHAnsi"/>
          <w:bCs/>
          <w:sz w:val="22"/>
          <w:szCs w:val="22"/>
        </w:rPr>
        <w:t xml:space="preserve">müteahhitlerimizin rekabet gücü, teknik kapasite ve deneyim konularında geldiği noktayı ortaya koyması açısından dikkat çekicidir. Sektörde ayrıca ABD pazarı yakından izlenmekte ve Kanada'ya yönelik bir </w:t>
      </w:r>
      <w:proofErr w:type="gramStart"/>
      <w:r w:rsidRPr="00B95775">
        <w:rPr>
          <w:rFonts w:asciiTheme="minorHAnsi" w:hAnsiTheme="minorHAnsi" w:cstheme="minorHAnsi"/>
          <w:bCs/>
          <w:sz w:val="22"/>
          <w:szCs w:val="22"/>
        </w:rPr>
        <w:t>müteahhitlik</w:t>
      </w:r>
      <w:proofErr w:type="gramEnd"/>
      <w:r w:rsidRPr="00B95775">
        <w:rPr>
          <w:rFonts w:asciiTheme="minorHAnsi" w:hAnsiTheme="minorHAnsi" w:cstheme="minorHAnsi"/>
          <w:bCs/>
          <w:sz w:val="22"/>
          <w:szCs w:val="22"/>
        </w:rPr>
        <w:t xml:space="preserve"> heyeti ziyareti düzenlenmesi konusunda </w:t>
      </w:r>
      <w:r w:rsidR="002676EA">
        <w:rPr>
          <w:rFonts w:asciiTheme="minorHAnsi" w:hAnsiTheme="minorHAnsi" w:cstheme="minorHAnsi"/>
          <w:bCs/>
          <w:sz w:val="22"/>
          <w:szCs w:val="22"/>
        </w:rPr>
        <w:t xml:space="preserve">Ticaret Bakanlığı ve TMB koordinasyonunda </w:t>
      </w:r>
      <w:r w:rsidRPr="00B95775">
        <w:rPr>
          <w:rFonts w:asciiTheme="minorHAnsi" w:hAnsiTheme="minorHAnsi" w:cstheme="minorHAnsi"/>
          <w:bCs/>
          <w:sz w:val="22"/>
          <w:szCs w:val="22"/>
        </w:rPr>
        <w:t>çalışmalar yürütülmektedir.</w:t>
      </w:r>
    </w:p>
    <w:p w:rsidR="0081542D" w:rsidRDefault="0081542D" w:rsidP="0081542D">
      <w:pPr>
        <w:pStyle w:val="NormalWeb"/>
        <w:spacing w:after="0"/>
        <w:jc w:val="both"/>
        <w:rPr>
          <w:rFonts w:asciiTheme="minorHAnsi" w:hAnsiTheme="minorHAnsi" w:cstheme="minorHAnsi"/>
          <w:sz w:val="22"/>
          <w:szCs w:val="22"/>
        </w:rPr>
      </w:pPr>
      <w:r w:rsidRPr="00C5583B">
        <w:rPr>
          <w:rFonts w:asciiTheme="minorHAnsi" w:hAnsiTheme="minorHAnsi" w:cstheme="minorHAnsi"/>
          <w:bCs/>
          <w:sz w:val="22"/>
          <w:szCs w:val="22"/>
        </w:rPr>
        <w:t>Son dönemde üçüncü ülkelerde işbirliği girişimleri kapsamında ise başta Afrika ve Avrasya olmak üzere Türk firmalarının girişimcilik yeteneği ile yerel pazar bil</w:t>
      </w:r>
      <w:r>
        <w:rPr>
          <w:rFonts w:asciiTheme="minorHAnsi" w:hAnsiTheme="minorHAnsi" w:cstheme="minorHAnsi"/>
          <w:bCs/>
          <w:sz w:val="22"/>
          <w:szCs w:val="22"/>
        </w:rPr>
        <w:t xml:space="preserve">gisinin, Japonya'nın finansman koşulları </w:t>
      </w:r>
      <w:r w:rsidRPr="00C5583B">
        <w:rPr>
          <w:rFonts w:asciiTheme="minorHAnsi" w:hAnsiTheme="minorHAnsi" w:cstheme="minorHAnsi"/>
          <w:bCs/>
          <w:sz w:val="22"/>
          <w:szCs w:val="22"/>
        </w:rPr>
        <w:t xml:space="preserve">ve teknolojisiyle buluşturulması hedeflenmektedir. </w:t>
      </w:r>
      <w:r>
        <w:rPr>
          <w:rFonts w:asciiTheme="minorHAnsi" w:hAnsiTheme="minorHAnsi" w:cstheme="minorHAnsi"/>
          <w:sz w:val="22"/>
          <w:szCs w:val="22"/>
        </w:rPr>
        <w:t xml:space="preserve">Bu hedef doğrultusunda bu yılın ilk yarısında </w:t>
      </w:r>
      <w:r w:rsidRPr="00C21426">
        <w:rPr>
          <w:rFonts w:asciiTheme="minorHAnsi" w:hAnsiTheme="minorHAnsi" w:cstheme="minorHAnsi"/>
          <w:sz w:val="22"/>
          <w:szCs w:val="22"/>
        </w:rPr>
        <w:t>T.C. Ticaret Bakanlığı ile Japonya Toprak, Altyapı ve Turizm Bakanlığı (MLIT) işbirliği ve TMB organizasyonunda</w:t>
      </w:r>
      <w:r>
        <w:rPr>
          <w:rFonts w:asciiTheme="minorHAnsi" w:hAnsiTheme="minorHAnsi" w:cstheme="minorHAnsi"/>
          <w:sz w:val="22"/>
          <w:szCs w:val="22"/>
        </w:rPr>
        <w:t xml:space="preserve"> </w:t>
      </w:r>
      <w:r>
        <w:rPr>
          <w:rFonts w:asciiTheme="minorHAnsi" w:hAnsiTheme="minorHAnsi" w:cstheme="minorHAnsi"/>
          <w:bCs/>
          <w:sz w:val="22"/>
          <w:szCs w:val="22"/>
        </w:rPr>
        <w:t>Kenya, Tanzanya ve Özbekistan’a Türk ve Japon firmaları ile ortak ziyaretler gerçekleştirilmiştir.</w:t>
      </w:r>
      <w:r w:rsidRPr="001145E3">
        <w:rPr>
          <w:rFonts w:asciiTheme="minorHAnsi" w:hAnsiTheme="minorHAnsi" w:cstheme="minorHAnsi"/>
          <w:sz w:val="22"/>
          <w:szCs w:val="22"/>
        </w:rPr>
        <w:t xml:space="preserve"> </w:t>
      </w:r>
      <w:r>
        <w:rPr>
          <w:rFonts w:asciiTheme="minorHAnsi" w:hAnsiTheme="minorHAnsi" w:cstheme="minorHAnsi"/>
          <w:sz w:val="22"/>
          <w:szCs w:val="22"/>
        </w:rPr>
        <w:t>Ayrıca “</w:t>
      </w:r>
      <w:r w:rsidRPr="001D7BAD">
        <w:rPr>
          <w:rFonts w:asciiTheme="minorHAnsi" w:hAnsiTheme="minorHAnsi" w:cstheme="minorHAnsi"/>
          <w:sz w:val="22"/>
          <w:szCs w:val="22"/>
        </w:rPr>
        <w:t>7. Tokyo Uluslararası Afrika Kalkınma</w:t>
      </w:r>
      <w:r>
        <w:rPr>
          <w:rFonts w:asciiTheme="minorHAnsi" w:hAnsiTheme="minorHAnsi" w:cstheme="minorHAnsi"/>
          <w:sz w:val="22"/>
          <w:szCs w:val="22"/>
        </w:rPr>
        <w:t xml:space="preserve"> Konferansı” (TICAD7) sırasında çalışmalar sürmüş, </w:t>
      </w:r>
      <w:r w:rsidRPr="001D7BAD">
        <w:rPr>
          <w:rFonts w:asciiTheme="minorHAnsi" w:hAnsiTheme="minorHAnsi" w:cstheme="minorHAnsi"/>
          <w:sz w:val="22"/>
          <w:szCs w:val="22"/>
        </w:rPr>
        <w:t>28-30 Ağustos 2019 tarihlerinde Japonya</w:t>
      </w:r>
      <w:r>
        <w:rPr>
          <w:rFonts w:asciiTheme="minorHAnsi" w:hAnsiTheme="minorHAnsi" w:cstheme="minorHAnsi"/>
          <w:sz w:val="22"/>
          <w:szCs w:val="22"/>
        </w:rPr>
        <w:t>/</w:t>
      </w:r>
      <w:r w:rsidR="00C25A44">
        <w:rPr>
          <w:rFonts w:asciiTheme="minorHAnsi" w:hAnsiTheme="minorHAnsi" w:cstheme="minorHAnsi"/>
          <w:sz w:val="22"/>
          <w:szCs w:val="22"/>
        </w:rPr>
        <w:t xml:space="preserve"> </w:t>
      </w:r>
      <w:r>
        <w:rPr>
          <w:rFonts w:asciiTheme="minorHAnsi" w:hAnsiTheme="minorHAnsi" w:cstheme="minorHAnsi"/>
          <w:sz w:val="22"/>
          <w:szCs w:val="22"/>
        </w:rPr>
        <w:t xml:space="preserve">Yokohama’da </w:t>
      </w:r>
      <w:proofErr w:type="spellStart"/>
      <w:r>
        <w:rPr>
          <w:rFonts w:asciiTheme="minorHAnsi" w:hAnsiTheme="minorHAnsi" w:cstheme="minorHAnsi"/>
          <w:sz w:val="22"/>
          <w:szCs w:val="22"/>
        </w:rPr>
        <w:t>TMB’nin</w:t>
      </w:r>
      <w:proofErr w:type="spellEnd"/>
      <w:r>
        <w:rPr>
          <w:rFonts w:asciiTheme="minorHAnsi" w:hAnsiTheme="minorHAnsi" w:cstheme="minorHAnsi"/>
          <w:sz w:val="22"/>
          <w:szCs w:val="22"/>
        </w:rPr>
        <w:t xml:space="preserve"> de katkılarıyla </w:t>
      </w:r>
      <w:r w:rsidRPr="001D7BAD">
        <w:rPr>
          <w:rFonts w:asciiTheme="minorHAnsi" w:hAnsiTheme="minorHAnsi" w:cstheme="minorHAnsi"/>
          <w:sz w:val="22"/>
          <w:szCs w:val="22"/>
        </w:rPr>
        <w:t>“Afrika için Türkiye - Japonya Ortaklığı Paneli”</w:t>
      </w:r>
      <w:r>
        <w:rPr>
          <w:rFonts w:asciiTheme="minorHAnsi" w:hAnsiTheme="minorHAnsi" w:cstheme="minorHAnsi"/>
          <w:sz w:val="22"/>
          <w:szCs w:val="22"/>
        </w:rPr>
        <w:t xml:space="preserve"> düzenlenmiştir. </w:t>
      </w:r>
      <w:r w:rsidRPr="001145E3">
        <w:rPr>
          <w:rFonts w:asciiTheme="minorHAnsi" w:hAnsiTheme="minorHAnsi" w:cstheme="minorHAnsi"/>
          <w:sz w:val="22"/>
          <w:szCs w:val="22"/>
        </w:rPr>
        <w:t xml:space="preserve">TMB </w:t>
      </w:r>
      <w:r w:rsidR="002676EA">
        <w:rPr>
          <w:rFonts w:asciiTheme="minorHAnsi" w:hAnsiTheme="minorHAnsi" w:cstheme="minorHAnsi"/>
          <w:sz w:val="22"/>
          <w:szCs w:val="22"/>
        </w:rPr>
        <w:t xml:space="preserve">ile </w:t>
      </w:r>
      <w:r w:rsidRPr="001145E3">
        <w:rPr>
          <w:rFonts w:asciiTheme="minorHAnsi" w:hAnsiTheme="minorHAnsi" w:cstheme="minorHAnsi"/>
          <w:sz w:val="22"/>
          <w:szCs w:val="22"/>
        </w:rPr>
        <w:t xml:space="preserve">muadil kuruluş Japonya Uluslararası İnşaat Birliği (OCAJI) </w:t>
      </w:r>
      <w:r w:rsidR="002676EA">
        <w:rPr>
          <w:rFonts w:asciiTheme="minorHAnsi" w:hAnsiTheme="minorHAnsi" w:cstheme="minorHAnsi"/>
          <w:sz w:val="22"/>
          <w:szCs w:val="22"/>
        </w:rPr>
        <w:t>arasında</w:t>
      </w:r>
      <w:r w:rsidRPr="001145E3">
        <w:rPr>
          <w:rFonts w:asciiTheme="minorHAnsi" w:hAnsiTheme="minorHAnsi" w:cstheme="minorHAnsi"/>
          <w:sz w:val="22"/>
          <w:szCs w:val="22"/>
        </w:rPr>
        <w:t xml:space="preserve"> </w:t>
      </w:r>
      <w:r>
        <w:rPr>
          <w:rFonts w:asciiTheme="minorHAnsi" w:hAnsiTheme="minorHAnsi" w:cstheme="minorHAnsi"/>
          <w:sz w:val="22"/>
          <w:szCs w:val="22"/>
        </w:rPr>
        <w:t>üçüncü</w:t>
      </w:r>
      <w:r w:rsidRPr="001145E3">
        <w:rPr>
          <w:rFonts w:asciiTheme="minorHAnsi" w:hAnsiTheme="minorHAnsi" w:cstheme="minorHAnsi"/>
          <w:sz w:val="22"/>
          <w:szCs w:val="22"/>
        </w:rPr>
        <w:t xml:space="preserve"> ülkelerde işbirliğinin geliştirilmesi konusunda mutabık kal</w:t>
      </w:r>
      <w:r>
        <w:rPr>
          <w:rFonts w:asciiTheme="minorHAnsi" w:hAnsiTheme="minorHAnsi" w:cstheme="minorHAnsi"/>
          <w:sz w:val="22"/>
          <w:szCs w:val="22"/>
        </w:rPr>
        <w:t>ınmıştır.</w:t>
      </w:r>
    </w:p>
    <w:p w:rsidR="005F6473" w:rsidRDefault="0081542D" w:rsidP="0074332B">
      <w:pPr>
        <w:spacing w:after="0" w:line="240" w:lineRule="auto"/>
        <w:jc w:val="both"/>
        <w:rPr>
          <w:rFonts w:eastAsia="Times New Roman" w:cs="Calibri"/>
          <w:b/>
          <w:color w:val="943634" w:themeColor="accent2" w:themeShade="BF"/>
          <w:sz w:val="32"/>
          <w:szCs w:val="32"/>
        </w:rPr>
      </w:pPr>
      <w:r w:rsidRPr="00312DB9">
        <w:rPr>
          <w:rFonts w:cstheme="minorHAnsi"/>
          <w:bCs/>
        </w:rPr>
        <w:t xml:space="preserve">Yurtdışı </w:t>
      </w:r>
      <w:proofErr w:type="gramStart"/>
      <w:r w:rsidRPr="00312DB9">
        <w:rPr>
          <w:rFonts w:cstheme="minorHAnsi"/>
          <w:bCs/>
        </w:rPr>
        <w:t>müteahhitlik</w:t>
      </w:r>
      <w:proofErr w:type="gramEnd"/>
      <w:r w:rsidRPr="00312DB9">
        <w:rPr>
          <w:rFonts w:cstheme="minorHAnsi"/>
          <w:bCs/>
        </w:rPr>
        <w:t xml:space="preserve"> hizmetlerinin, ekonomiye döviz girdisi, ihracat, istihdam ve </w:t>
      </w:r>
      <w:proofErr w:type="spellStart"/>
      <w:r w:rsidRPr="00312DB9">
        <w:rPr>
          <w:rFonts w:cstheme="minorHAnsi"/>
          <w:bCs/>
        </w:rPr>
        <w:t>sektörel</w:t>
      </w:r>
      <w:proofErr w:type="spellEnd"/>
      <w:r w:rsidRPr="00312DB9">
        <w:rPr>
          <w:rFonts w:cstheme="minorHAnsi"/>
          <w:bCs/>
        </w:rPr>
        <w:t xml:space="preserve"> rekabet gücüne katkıları başta olmak üzere sürdürülebilir büyüme açısından önemi son derece büyüktür.</w:t>
      </w:r>
      <w:r w:rsidRPr="00312DB9">
        <w:rPr>
          <w:rFonts w:cstheme="minorHAnsi"/>
        </w:rPr>
        <w:t xml:space="preserve"> </w:t>
      </w:r>
      <w:r>
        <w:rPr>
          <w:rFonts w:cstheme="minorHAnsi"/>
          <w:bCs/>
        </w:rPr>
        <w:t xml:space="preserve">Türk </w:t>
      </w:r>
      <w:proofErr w:type="gramStart"/>
      <w:r>
        <w:rPr>
          <w:rFonts w:cstheme="minorHAnsi"/>
          <w:bCs/>
        </w:rPr>
        <w:t>müteahhitlerinin</w:t>
      </w:r>
      <w:proofErr w:type="gramEnd"/>
      <w:r>
        <w:rPr>
          <w:rFonts w:cstheme="minorHAnsi"/>
          <w:bCs/>
        </w:rPr>
        <w:t xml:space="preserve"> içinden geçtiğimiz zorlu rekabet ortamında uluslararası pazarlardaki konumun</w:t>
      </w:r>
      <w:r w:rsidRPr="001D5FFF">
        <w:rPr>
          <w:rFonts w:cstheme="minorHAnsi"/>
          <w:bCs/>
        </w:rPr>
        <w:t>u</w:t>
      </w:r>
      <w:r>
        <w:rPr>
          <w:rFonts w:cstheme="minorHAnsi"/>
          <w:bCs/>
        </w:rPr>
        <w:t>n</w:t>
      </w:r>
      <w:r w:rsidRPr="001D5FFF">
        <w:rPr>
          <w:rFonts w:cstheme="minorHAnsi"/>
          <w:bCs/>
        </w:rPr>
        <w:t xml:space="preserve"> güçlendir</w:t>
      </w:r>
      <w:r>
        <w:rPr>
          <w:rFonts w:cstheme="minorHAnsi"/>
          <w:bCs/>
        </w:rPr>
        <w:t xml:space="preserve">ebilmesi için </w:t>
      </w:r>
      <w:r w:rsidRPr="001D5FFF">
        <w:rPr>
          <w:rFonts w:cstheme="minorHAnsi"/>
          <w:bCs/>
        </w:rPr>
        <w:t>f</w:t>
      </w:r>
      <w:r>
        <w:rPr>
          <w:rFonts w:cstheme="minorHAnsi"/>
          <w:bCs/>
        </w:rPr>
        <w:t>irma ölçeklerinin büyütülmesi,</w:t>
      </w:r>
      <w:r w:rsidRPr="001D5FFF">
        <w:rPr>
          <w:rFonts w:cstheme="minorHAnsi"/>
          <w:bCs/>
        </w:rPr>
        <w:t xml:space="preserve"> ortak iş yapma bilincinin artırılması</w:t>
      </w:r>
      <w:r>
        <w:rPr>
          <w:rFonts w:cstheme="minorHAnsi"/>
          <w:bCs/>
        </w:rPr>
        <w:t xml:space="preserve"> ve pazarların çeşitlendirilmesine hız verilmesi ihtiyacı öne çıkmaktadır.</w:t>
      </w:r>
    </w:p>
    <w:p w:rsidR="005F6473" w:rsidRDefault="005F6473" w:rsidP="0074332B">
      <w:pPr>
        <w:spacing w:after="0" w:line="240" w:lineRule="auto"/>
        <w:jc w:val="both"/>
        <w:rPr>
          <w:rFonts w:eastAsia="Times New Roman" w:cs="Calibri"/>
          <w:b/>
          <w:color w:val="943634" w:themeColor="accent2" w:themeShade="BF"/>
          <w:sz w:val="32"/>
          <w:szCs w:val="32"/>
        </w:rPr>
      </w:pPr>
    </w:p>
    <w:p w:rsidR="005F6473" w:rsidRDefault="005F6473" w:rsidP="0074332B">
      <w:pPr>
        <w:spacing w:after="0" w:line="240" w:lineRule="auto"/>
        <w:jc w:val="both"/>
        <w:rPr>
          <w:rFonts w:eastAsia="Times New Roman" w:cs="Calibri"/>
          <w:b/>
          <w:color w:val="943634" w:themeColor="accent2" w:themeShade="BF"/>
          <w:sz w:val="32"/>
          <w:szCs w:val="32"/>
        </w:rPr>
      </w:pPr>
    </w:p>
    <w:p w:rsidR="005F6473" w:rsidRDefault="005F6473" w:rsidP="0074332B">
      <w:pPr>
        <w:spacing w:after="0" w:line="240" w:lineRule="auto"/>
        <w:jc w:val="both"/>
        <w:rPr>
          <w:rFonts w:eastAsia="Times New Roman" w:cs="Calibri"/>
          <w:b/>
          <w:color w:val="943634" w:themeColor="accent2" w:themeShade="BF"/>
          <w:sz w:val="32"/>
          <w:szCs w:val="32"/>
        </w:rPr>
      </w:pPr>
    </w:p>
    <w:p w:rsidR="005F6473" w:rsidRDefault="005F6473" w:rsidP="0074332B">
      <w:pPr>
        <w:spacing w:after="0" w:line="240" w:lineRule="auto"/>
        <w:jc w:val="both"/>
        <w:rPr>
          <w:rFonts w:eastAsia="Times New Roman" w:cs="Calibri"/>
          <w:b/>
          <w:color w:val="943634" w:themeColor="accent2" w:themeShade="BF"/>
          <w:sz w:val="32"/>
          <w:szCs w:val="32"/>
        </w:rPr>
      </w:pPr>
    </w:p>
    <w:p w:rsidR="005F6473" w:rsidRDefault="005F6473" w:rsidP="0074332B">
      <w:pPr>
        <w:spacing w:after="0" w:line="240" w:lineRule="auto"/>
        <w:jc w:val="both"/>
        <w:rPr>
          <w:rFonts w:eastAsia="Times New Roman" w:cs="Calibri"/>
          <w:b/>
          <w:color w:val="943634" w:themeColor="accent2" w:themeShade="BF"/>
          <w:sz w:val="32"/>
          <w:szCs w:val="32"/>
        </w:rPr>
      </w:pPr>
    </w:p>
    <w:p w:rsidR="005F6473" w:rsidRDefault="005F6473" w:rsidP="0074332B">
      <w:pPr>
        <w:spacing w:after="0" w:line="240" w:lineRule="auto"/>
        <w:jc w:val="both"/>
        <w:rPr>
          <w:rFonts w:eastAsia="Times New Roman" w:cs="Calibri"/>
          <w:b/>
          <w:color w:val="943634" w:themeColor="accent2" w:themeShade="BF"/>
          <w:sz w:val="32"/>
          <w:szCs w:val="32"/>
        </w:rPr>
      </w:pPr>
    </w:p>
    <w:p w:rsidR="005F6473" w:rsidRDefault="005F6473"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A51CDF" w:rsidRDefault="00A51CDF" w:rsidP="0074332B">
      <w:pPr>
        <w:spacing w:after="0" w:line="240" w:lineRule="auto"/>
        <w:jc w:val="both"/>
        <w:rPr>
          <w:rFonts w:eastAsia="Times New Roman" w:cs="Calibri"/>
          <w:b/>
          <w:color w:val="943634" w:themeColor="accent2" w:themeShade="BF"/>
          <w:sz w:val="32"/>
          <w:szCs w:val="32"/>
        </w:rPr>
      </w:pPr>
    </w:p>
    <w:p w:rsidR="00402F30" w:rsidRDefault="00402F30" w:rsidP="00402F30">
      <w:pPr>
        <w:spacing w:after="0" w:line="240" w:lineRule="auto"/>
        <w:jc w:val="both"/>
        <w:rPr>
          <w:rFonts w:eastAsia="Times New Roman" w:cs="Calibri"/>
          <w:b/>
          <w:color w:val="943634" w:themeColor="accent2" w:themeShade="BF"/>
          <w:sz w:val="32"/>
          <w:szCs w:val="32"/>
        </w:rPr>
      </w:pPr>
      <w:r>
        <w:rPr>
          <w:rFonts w:eastAsia="Times New Roman" w:cs="Calibri"/>
          <w:b/>
          <w:color w:val="943634" w:themeColor="accent2" w:themeShade="BF"/>
          <w:sz w:val="32"/>
          <w:szCs w:val="32"/>
        </w:rPr>
        <w:lastRenderedPageBreak/>
        <w:t>UFUK TURU</w:t>
      </w:r>
    </w:p>
    <w:p w:rsidR="00402F30" w:rsidRDefault="00402F30" w:rsidP="00402F30">
      <w:pPr>
        <w:spacing w:after="0" w:line="240" w:lineRule="auto"/>
        <w:jc w:val="both"/>
        <w:rPr>
          <w:rFonts w:eastAsia="Times New Roman" w:cs="Calibri"/>
          <w:b/>
          <w:color w:val="943634" w:themeColor="accent2" w:themeShade="BF"/>
          <w:sz w:val="32"/>
          <w:szCs w:val="32"/>
          <w:highlight w:val="yellow"/>
        </w:rPr>
      </w:pPr>
    </w:p>
    <w:p w:rsidR="00402F30" w:rsidRDefault="00402F30" w:rsidP="00402F30">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b/>
          <w:color w:val="943634" w:themeColor="accent2" w:themeShade="BF"/>
        </w:rPr>
      </w:pPr>
      <w:r>
        <w:rPr>
          <w:rFonts w:eastAsia="Times New Roman" w:cstheme="minorHAnsi"/>
          <w:b/>
          <w:color w:val="943634" w:themeColor="accent2" w:themeShade="BF"/>
        </w:rPr>
        <w:t xml:space="preserve">Mahfi EĞİLMEZ, </w:t>
      </w:r>
      <w:r>
        <w:rPr>
          <w:rFonts w:eastAsia="Times New Roman" w:cstheme="minorHAnsi"/>
          <w:i/>
          <w:color w:val="943634" w:themeColor="accent2" w:themeShade="BF"/>
        </w:rPr>
        <w:t>7 Eylül 2019</w:t>
      </w:r>
      <w:r>
        <w:rPr>
          <w:rFonts w:eastAsia="Times New Roman" w:cstheme="minorHAnsi"/>
          <w:b/>
          <w:color w:val="943634" w:themeColor="accent2" w:themeShade="BF"/>
        </w:rPr>
        <w:t xml:space="preserve"> </w:t>
      </w:r>
    </w:p>
    <w:p w:rsidR="00402F30" w:rsidRDefault="00402F30" w:rsidP="00402F30">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b/>
          <w:color w:val="943634" w:themeColor="accent2" w:themeShade="BF"/>
        </w:rPr>
      </w:pPr>
      <w:r>
        <w:rPr>
          <w:rFonts w:eastAsia="Times New Roman" w:cstheme="minorHAnsi"/>
          <w:b/>
          <w:color w:val="943634" w:themeColor="accent2" w:themeShade="BF"/>
        </w:rPr>
        <w:t>Ekonomist</w:t>
      </w:r>
    </w:p>
    <w:p w:rsidR="00402F30" w:rsidRDefault="00402F30" w:rsidP="00402F30">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rPr>
      </w:pPr>
    </w:p>
    <w:p w:rsidR="00A26BA6" w:rsidRDefault="00402F30" w:rsidP="00402F30">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rPr>
      </w:pPr>
      <w:proofErr w:type="spellStart"/>
      <w:r>
        <w:rPr>
          <w:rFonts w:eastAsia="Times New Roman" w:cstheme="minorHAnsi"/>
        </w:rPr>
        <w:t>Trump’ın</w:t>
      </w:r>
      <w:proofErr w:type="spellEnd"/>
      <w:r>
        <w:rPr>
          <w:rFonts w:eastAsia="Times New Roman" w:cstheme="minorHAnsi"/>
        </w:rPr>
        <w:t xml:space="preserve">, ortaya attığı “Önce Amerika” sloganı, sonradan farklı anlamlar verilmeye çalışılmış olsa bile, ABD’yi serbest ticaret şampiyonluğundan indirecek kadar önemli bir değişime işaret ediyor… </w:t>
      </w:r>
      <w:proofErr w:type="spellStart"/>
      <w:r>
        <w:rPr>
          <w:rFonts w:eastAsia="Times New Roman" w:cstheme="minorHAnsi"/>
        </w:rPr>
        <w:t>Trump</w:t>
      </w:r>
      <w:proofErr w:type="spellEnd"/>
      <w:r>
        <w:rPr>
          <w:rFonts w:eastAsia="Times New Roman" w:cstheme="minorHAnsi"/>
        </w:rPr>
        <w:t xml:space="preserve"> “önce Amerika” derken </w:t>
      </w:r>
      <w:proofErr w:type="spellStart"/>
      <w:r>
        <w:rPr>
          <w:rFonts w:eastAsia="Times New Roman" w:cstheme="minorHAnsi"/>
        </w:rPr>
        <w:t>Xi</w:t>
      </w:r>
      <w:proofErr w:type="spellEnd"/>
      <w:r>
        <w:rPr>
          <w:rFonts w:eastAsia="Times New Roman" w:cstheme="minorHAnsi"/>
        </w:rPr>
        <w:t xml:space="preserve"> </w:t>
      </w:r>
      <w:proofErr w:type="spellStart"/>
      <w:r>
        <w:rPr>
          <w:rFonts w:eastAsia="Times New Roman" w:cstheme="minorHAnsi"/>
        </w:rPr>
        <w:t>Jinping</w:t>
      </w:r>
      <w:proofErr w:type="spellEnd"/>
      <w:r>
        <w:rPr>
          <w:rFonts w:eastAsia="Times New Roman" w:cstheme="minorHAnsi"/>
        </w:rPr>
        <w:t xml:space="preserve"> “serbest ticaret herkesin yararınadır” diyor. Oysa bugüne kadar yaşananlar tam tersinin olması gerektiğini gösteriyordu. Eğer ticaret savaşları bir askeri savaşa </w:t>
      </w:r>
      <w:r w:rsidRPr="00402F30">
        <w:rPr>
          <w:rFonts w:eastAsia="Times New Roman" w:cstheme="minorHAnsi"/>
        </w:rPr>
        <w:t>dönüşmeden sonuca vardırılabilecekse bunda Çin’in payı ABD’nin payından çok daha fazla olacak. Ne var ki Çin’in bu dengeli tutumu önümüzdeki dönemde ne kadar sürer onu kestirmek kolay değil.</w:t>
      </w:r>
    </w:p>
    <w:p w:rsidR="001879B9" w:rsidRPr="00402F30" w:rsidRDefault="001879B9" w:rsidP="00402F30">
      <w:pPr>
        <w:pBdr>
          <w:top w:val="single" w:sz="4" w:space="1" w:color="auto"/>
          <w:left w:val="single" w:sz="4" w:space="0" w:color="auto"/>
          <w:bottom w:val="single" w:sz="4" w:space="1" w:color="auto"/>
          <w:right w:val="single" w:sz="4" w:space="4" w:color="auto"/>
        </w:pBdr>
        <w:spacing w:after="0" w:line="240" w:lineRule="auto"/>
        <w:jc w:val="both"/>
        <w:rPr>
          <w:rFonts w:eastAsia="Times New Roman" w:cstheme="minorHAnsi"/>
        </w:rPr>
      </w:pPr>
    </w:p>
    <w:p w:rsidR="00402F30" w:rsidRPr="00402F30" w:rsidRDefault="00402F30" w:rsidP="00402F30">
      <w:pPr>
        <w:pStyle w:val="NormalWeb"/>
        <w:spacing w:before="0" w:beforeAutospacing="0" w:after="0" w:afterAutospacing="0"/>
        <w:jc w:val="both"/>
        <w:rPr>
          <w:rFonts w:asciiTheme="minorHAnsi" w:hAnsiTheme="minorHAnsi" w:cstheme="minorHAnsi"/>
          <w:bCs/>
          <w:sz w:val="22"/>
          <w:szCs w:val="22"/>
        </w:rPr>
      </w:pP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i/>
          <w:color w:val="943634" w:themeColor="accent2" w:themeShade="BF"/>
        </w:rPr>
      </w:pPr>
      <w:r w:rsidRPr="00402F30">
        <w:rPr>
          <w:rFonts w:eastAsia="Times New Roman" w:cs="Calibri"/>
          <w:b/>
          <w:color w:val="943634" w:themeColor="accent2" w:themeShade="BF"/>
        </w:rPr>
        <w:t xml:space="preserve">Uğur CİVELEK, </w:t>
      </w:r>
      <w:r w:rsidRPr="00402F30">
        <w:rPr>
          <w:rFonts w:eastAsia="Times New Roman" w:cs="Calibri"/>
          <w:i/>
          <w:color w:val="943634" w:themeColor="accent2" w:themeShade="BF"/>
        </w:rPr>
        <w:t xml:space="preserve"> 19 Eylül 2019,Dünya Gazetesi </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943634" w:themeColor="accent2" w:themeShade="BF"/>
        </w:rPr>
      </w:pPr>
      <w:r w:rsidRPr="00402F30">
        <w:rPr>
          <w:rFonts w:eastAsia="Times New Roman" w:cstheme="minorHAnsi"/>
          <w:b/>
          <w:color w:val="943634" w:themeColor="accent2" w:themeShade="BF"/>
        </w:rPr>
        <w:t xml:space="preserve">Ekonomist </w:t>
      </w:r>
      <w:r w:rsidRPr="00402F30">
        <w:rPr>
          <w:rFonts w:eastAsia="Times New Roman" w:cs="Calibri"/>
          <w:b/>
          <w:bCs/>
          <w:color w:val="943634" w:themeColor="accent2" w:themeShade="BF"/>
        </w:rPr>
        <w:t>&amp; Köşe Yazarı</w:t>
      </w:r>
    </w:p>
    <w:p w:rsidR="00402F30" w:rsidRDefault="00402F30"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
          <w:bCs/>
          <w:color w:val="943634" w:themeColor="accent2" w:themeShade="BF"/>
        </w:rPr>
      </w:pPr>
    </w:p>
    <w:p w:rsidR="00C25A44" w:rsidRDefault="00C25A44"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r w:rsidRPr="00402F30">
        <w:rPr>
          <w:rFonts w:eastAsia="Times New Roman" w:cs="Calibri"/>
          <w:bCs/>
        </w:rPr>
        <w:t xml:space="preserve">Suudi Arabistan’daki rafinerilere yapılan) saldırıyı kimin yaptığı önemsizleşirken, ansızın tekrarlanma olasılığındaki artış küresel kırılganlık algılarını pekiştirdi! Bu saldırı ve ortaya çıkan </w:t>
      </w:r>
      <w:proofErr w:type="spellStart"/>
      <w:r w:rsidRPr="00402F30">
        <w:rPr>
          <w:rFonts w:eastAsia="Times New Roman" w:cs="Calibri"/>
          <w:bCs/>
        </w:rPr>
        <w:t>farkındalık</w:t>
      </w:r>
      <w:proofErr w:type="spellEnd"/>
      <w:r w:rsidRPr="00402F30">
        <w:rPr>
          <w:rFonts w:eastAsia="Times New Roman" w:cs="Calibri"/>
          <w:bCs/>
        </w:rPr>
        <w:t>, merkez bankalarının her derdin devası olmadığını ve bu gibi durumlarda yıkıcı eğilimlerin söz konusu olabileceği ile ilgiliydi. Jeopolitik gerginliklerdeki tırmanış, ekonomik ve finansal kırılganlığı artırıyor.</w:t>
      </w:r>
    </w:p>
    <w:p w:rsidR="00A26BA6" w:rsidRPr="00402F30" w:rsidRDefault="00A26BA6"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
          <w:bCs/>
          <w:color w:val="943634" w:themeColor="accent2" w:themeShade="BF"/>
        </w:rPr>
      </w:pPr>
    </w:p>
    <w:p w:rsidR="00402F30" w:rsidRDefault="00402F30" w:rsidP="00402F30">
      <w:pPr>
        <w:spacing w:after="0" w:line="240" w:lineRule="auto"/>
        <w:jc w:val="both"/>
        <w:rPr>
          <w:rFonts w:eastAsia="Times New Roman" w:cs="Calibri"/>
          <w:bCs/>
        </w:rPr>
      </w:pP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i/>
          <w:color w:val="943634" w:themeColor="accent2" w:themeShade="BF"/>
        </w:rPr>
      </w:pPr>
      <w:r w:rsidRPr="00402F30">
        <w:rPr>
          <w:rFonts w:eastAsia="Times New Roman" w:cs="Calibri"/>
          <w:b/>
          <w:color w:val="943634" w:themeColor="accent2" w:themeShade="BF"/>
        </w:rPr>
        <w:t xml:space="preserve">Erinç YELDAN, </w:t>
      </w:r>
      <w:r w:rsidRPr="00402F30">
        <w:rPr>
          <w:rFonts w:eastAsia="Times New Roman" w:cs="Calibri"/>
          <w:i/>
          <w:color w:val="943634" w:themeColor="accent2" w:themeShade="BF"/>
        </w:rPr>
        <w:t xml:space="preserve">26 Eylül 2019, Cumhuriyet Gazetesi </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943634" w:themeColor="accent2" w:themeShade="BF"/>
        </w:rPr>
      </w:pPr>
      <w:r w:rsidRPr="00402F30">
        <w:rPr>
          <w:rFonts w:eastAsia="Times New Roman" w:cstheme="minorHAnsi"/>
          <w:b/>
          <w:color w:val="943634" w:themeColor="accent2" w:themeShade="BF"/>
        </w:rPr>
        <w:t xml:space="preserve">Ekonomist </w:t>
      </w:r>
      <w:r w:rsidRPr="00402F30">
        <w:rPr>
          <w:rFonts w:eastAsia="Times New Roman" w:cs="Calibri"/>
          <w:b/>
          <w:bCs/>
          <w:color w:val="943634" w:themeColor="accent2" w:themeShade="BF"/>
        </w:rPr>
        <w:t>&amp; Köşe Yazarı</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b/>
          <w:bCs/>
          <w:color w:val="943634" w:themeColor="accent2" w:themeShade="BF"/>
        </w:rPr>
      </w:pPr>
    </w:p>
    <w:p w:rsidR="00402F30" w:rsidRDefault="00402F30" w:rsidP="00402F30">
      <w:pPr>
        <w:pBdr>
          <w:top w:val="single" w:sz="4" w:space="1" w:color="auto"/>
          <w:left w:val="single" w:sz="4" w:space="4" w:color="auto"/>
          <w:bottom w:val="single" w:sz="4" w:space="1" w:color="auto"/>
          <w:right w:val="single" w:sz="4" w:space="4" w:color="auto"/>
        </w:pBdr>
        <w:spacing w:after="0" w:line="240" w:lineRule="auto"/>
        <w:jc w:val="both"/>
      </w:pPr>
      <w:r w:rsidRPr="00402F30">
        <w:rPr>
          <w:rFonts w:eastAsia="Times New Roman" w:cs="Calibri"/>
          <w:bCs/>
        </w:rPr>
        <w:t xml:space="preserve">Birleşmiş Milletler Ticaret ve Kalkınma Konferansı (UNCTAD) araştırmacıları, yeşil yatırımlarda yıllık %2’lik bir artışın, bir diğer deyişle 1,7 trilyon ABD Doları seviyesinde bir yatırımın-ki bu da hükümetlerin fosil yakıtları sübvanse etmek için kullandığı mali kaynağın üçte birine denk geliyor, küresel istihdamda en az 170 milyonluk bir artış; gelişmekte olan ülkelerde daha temiz sanayileşme ve karbon </w:t>
      </w:r>
      <w:proofErr w:type="gramStart"/>
      <w:r w:rsidRPr="00402F30">
        <w:rPr>
          <w:rFonts w:eastAsia="Times New Roman" w:cs="Calibri"/>
          <w:bCs/>
        </w:rPr>
        <w:t>emisyonunun</w:t>
      </w:r>
      <w:proofErr w:type="gramEnd"/>
      <w:r w:rsidRPr="00402F30">
        <w:rPr>
          <w:rFonts w:eastAsia="Times New Roman" w:cs="Calibri"/>
          <w:bCs/>
        </w:rPr>
        <w:t xml:space="preserve"> uluslararası 2030 Gündemi ile belirlenen tarihe kadar daha güçlü bir biçimde azaltılmasını sağlayacağını tahmin ediyor… (Dünyada) 2 dereceden fazla ısınmanın maliyetleri 70 ile 550 trilyon dolar arasında olacağı hesaplanmakta. Soru şudur: Bu dönüşümün maliyetlerini karşılayabilir miyiz? Kuşkusuz mesele sadece dönüşümün maliyetlerini karşılamaktan ibaret değil; aslında yeni bir yatırım ve tüketim rejimi tasarlamalıyız ve “yaşamın sürdürülemeyeceği” bir gezegenin maliyetlerini düşünmek dahi anlamsız.</w:t>
      </w:r>
      <w:r w:rsidRPr="00402F30">
        <w:t xml:space="preserve"> </w:t>
      </w:r>
    </w:p>
    <w:p w:rsidR="00A26BA6" w:rsidRPr="00402F30" w:rsidRDefault="00A26BA6"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p>
    <w:p w:rsidR="00402F30" w:rsidRPr="00402F30" w:rsidRDefault="00402F30" w:rsidP="00402F30">
      <w:pPr>
        <w:pStyle w:val="NormalWeb"/>
        <w:spacing w:before="0" w:beforeAutospacing="0" w:after="0" w:afterAutospacing="0"/>
        <w:jc w:val="both"/>
        <w:rPr>
          <w:rFonts w:cs="Calibri"/>
          <w:b/>
          <w:color w:val="943634" w:themeColor="accent2" w:themeShade="BF"/>
        </w:rPr>
      </w:pP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i/>
          <w:color w:val="943634" w:themeColor="accent2" w:themeShade="BF"/>
        </w:rPr>
      </w:pPr>
      <w:r w:rsidRPr="00402F30">
        <w:rPr>
          <w:rFonts w:eastAsia="Times New Roman" w:cs="Calibri"/>
          <w:b/>
          <w:color w:val="943634" w:themeColor="accent2" w:themeShade="BF"/>
        </w:rPr>
        <w:t xml:space="preserve">Selva DEMİRALP, </w:t>
      </w:r>
      <w:r w:rsidRPr="00402F30">
        <w:rPr>
          <w:rFonts w:eastAsia="Times New Roman" w:cs="Calibri"/>
          <w:i/>
          <w:color w:val="943634" w:themeColor="accent2" w:themeShade="BF"/>
        </w:rPr>
        <w:t xml:space="preserve">30 Eylül 2019 </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color w:val="943634" w:themeColor="accent2" w:themeShade="BF"/>
        </w:rPr>
      </w:pPr>
      <w:r w:rsidRPr="00402F30">
        <w:rPr>
          <w:rFonts w:eastAsia="Times New Roman" w:cstheme="minorHAnsi"/>
          <w:b/>
          <w:color w:val="943634" w:themeColor="accent2" w:themeShade="BF"/>
        </w:rPr>
        <w:t xml:space="preserve">Ekonomist </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b/>
          <w:bCs/>
          <w:color w:val="943634" w:themeColor="accent2" w:themeShade="BF"/>
        </w:rPr>
      </w:pPr>
    </w:p>
    <w:p w:rsidR="00402F30" w:rsidRDefault="00402F30"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r w:rsidRPr="00402F30">
        <w:rPr>
          <w:rFonts w:eastAsia="Times New Roman" w:cs="Calibri"/>
          <w:bCs/>
        </w:rPr>
        <w:t xml:space="preserve">Büyümek, hele de ülkenin potansiyel büyüme hızına yakın bir seviyede büyümek fena mı olur? Olmaz elbette ama bunda mevcut hızınız ve o potansiyele ulaşmak için harcayacağınız </w:t>
      </w:r>
      <w:proofErr w:type="gramStart"/>
      <w:r w:rsidRPr="00402F30">
        <w:rPr>
          <w:rFonts w:eastAsia="Times New Roman" w:cs="Calibri"/>
          <w:bCs/>
        </w:rPr>
        <w:t>efor</w:t>
      </w:r>
      <w:proofErr w:type="gramEnd"/>
      <w:r w:rsidRPr="00402F30">
        <w:rPr>
          <w:rFonts w:eastAsia="Times New Roman" w:cs="Calibri"/>
          <w:bCs/>
        </w:rPr>
        <w:t xml:space="preserve"> çok önemli.</w:t>
      </w:r>
      <w:r w:rsidRPr="00402F30">
        <w:t xml:space="preserve"> (</w:t>
      </w:r>
      <w:proofErr w:type="spellStart"/>
      <w:r w:rsidRPr="00402F30">
        <w:t>YEP’te</w:t>
      </w:r>
      <w:proofErr w:type="spellEnd"/>
      <w:r w:rsidRPr="00402F30">
        <w:t xml:space="preserve">) </w:t>
      </w:r>
      <w:r w:rsidRPr="00402F30">
        <w:rPr>
          <w:rFonts w:eastAsia="Times New Roman" w:cs="Calibri"/>
          <w:bCs/>
        </w:rPr>
        <w:t>%0,5 tahmin edilen 2019 büyümesinin bir senede yaklaşık 5 puanlık bir hız artışı yaşaması için ciddi bir ivmelenme gerekli… Bunun yaratabileceği yan etkiler konusunda oldukça iyimser bir yaklaşım görüyoruz. Özellikle son iki senede düşük talep nedeni ile ertelenen zamların talepte oluşacak hızlı bir canlanma ile beraber fiyatlara yansımasını beklemek makuldür… Bununla birlikte, 2020 yılına ait enflasyon tahmininin yukarı değil bilakis aşağı yönlü revize edilip %8,5'e çekilmesi iç tutarlılık açısından sıkıntı arz ediyor.</w:t>
      </w:r>
      <w:r w:rsidRPr="00402F30">
        <w:t xml:space="preserve"> </w:t>
      </w:r>
      <w:r w:rsidRPr="00402F30">
        <w:rPr>
          <w:rFonts w:eastAsia="Times New Roman" w:cs="Calibri"/>
          <w:bCs/>
        </w:rPr>
        <w:t xml:space="preserve">Benzer bir problemi cari açık tahminlerinde de görüyoruz. </w:t>
      </w:r>
    </w:p>
    <w:p w:rsidR="00A26BA6" w:rsidRDefault="00A26BA6"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p>
    <w:p w:rsidR="00F1482D" w:rsidRPr="00402F30" w:rsidRDefault="00F1482D" w:rsidP="00402F30">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i/>
          <w:color w:val="943634" w:themeColor="accent2" w:themeShade="BF"/>
        </w:rPr>
      </w:pPr>
      <w:proofErr w:type="spellStart"/>
      <w:r w:rsidRPr="00402F30">
        <w:rPr>
          <w:rFonts w:eastAsia="Times New Roman" w:cs="Calibri"/>
          <w:b/>
          <w:color w:val="943634" w:themeColor="accent2" w:themeShade="BF"/>
        </w:rPr>
        <w:lastRenderedPageBreak/>
        <w:t>Abdurrahman</w:t>
      </w:r>
      <w:proofErr w:type="spellEnd"/>
      <w:r w:rsidRPr="00402F30">
        <w:rPr>
          <w:rFonts w:eastAsia="Times New Roman" w:cs="Calibri"/>
          <w:b/>
          <w:color w:val="943634" w:themeColor="accent2" w:themeShade="BF"/>
        </w:rPr>
        <w:t xml:space="preserve"> YILDIRIM, </w:t>
      </w:r>
      <w:r w:rsidRPr="00402F30">
        <w:rPr>
          <w:rFonts w:eastAsia="Times New Roman" w:cs="Calibri"/>
          <w:i/>
          <w:color w:val="943634" w:themeColor="accent2" w:themeShade="BF"/>
        </w:rPr>
        <w:t xml:space="preserve">2 Ekim 2019, Haber Türk İnternet </w:t>
      </w:r>
      <w:proofErr w:type="spellStart"/>
      <w:r w:rsidRPr="00402F30">
        <w:rPr>
          <w:rFonts w:eastAsia="Times New Roman" w:cs="Calibri"/>
          <w:i/>
          <w:color w:val="943634" w:themeColor="accent2" w:themeShade="BF"/>
        </w:rPr>
        <w:t>Portalı</w:t>
      </w:r>
      <w:proofErr w:type="spellEnd"/>
      <w:r w:rsidRPr="00402F30">
        <w:rPr>
          <w:rFonts w:eastAsia="Times New Roman" w:cs="Calibri"/>
          <w:i/>
          <w:color w:val="943634" w:themeColor="accent2" w:themeShade="BF"/>
        </w:rPr>
        <w:t xml:space="preserve"> </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b/>
          <w:bCs/>
          <w:color w:val="943634" w:themeColor="accent2" w:themeShade="BF"/>
        </w:rPr>
      </w:pPr>
      <w:r w:rsidRPr="00402F30">
        <w:rPr>
          <w:rFonts w:eastAsia="Times New Roman" w:cs="Calibri"/>
          <w:b/>
          <w:bCs/>
          <w:color w:val="943634" w:themeColor="accent2" w:themeShade="BF"/>
        </w:rPr>
        <w:t>Köşe Yazarı</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b/>
          <w:bCs/>
          <w:color w:val="943634" w:themeColor="accent2" w:themeShade="BF"/>
        </w:rPr>
      </w:pPr>
    </w:p>
    <w:p w:rsidR="00A26BA6" w:rsidRDefault="00402F30" w:rsidP="00A26BA6">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r w:rsidRPr="00402F30">
        <w:rPr>
          <w:rFonts w:eastAsia="Times New Roman" w:cs="Calibri"/>
          <w:bCs/>
        </w:rPr>
        <w:t xml:space="preserve">Yılın son çeyreği itibariyle hem düşük </w:t>
      </w:r>
      <w:proofErr w:type="gramStart"/>
      <w:r w:rsidRPr="00402F30">
        <w:rPr>
          <w:rFonts w:eastAsia="Times New Roman" w:cs="Calibri"/>
          <w:bCs/>
        </w:rPr>
        <w:t>baz</w:t>
      </w:r>
      <w:proofErr w:type="gramEnd"/>
      <w:r w:rsidRPr="00402F30">
        <w:rPr>
          <w:rFonts w:eastAsia="Times New Roman" w:cs="Calibri"/>
          <w:bCs/>
        </w:rPr>
        <w:t xml:space="preserve"> etkisinden hem 4 -</w:t>
      </w:r>
      <w:r w:rsidR="00A26BA6">
        <w:rPr>
          <w:rFonts w:eastAsia="Times New Roman" w:cs="Calibri"/>
          <w:bCs/>
        </w:rPr>
        <w:t xml:space="preserve"> </w:t>
      </w:r>
      <w:r w:rsidRPr="00402F30">
        <w:rPr>
          <w:rFonts w:eastAsia="Times New Roman" w:cs="Calibri"/>
          <w:bCs/>
        </w:rPr>
        <w:t>5 çeyreği bulan gecikmiş talepten hem de düşen faizlerden dolayı bir fırsat penceresi yakalandığını kabul etmek gerekiyor. Bu fırsat da elbette siyaset, dış politika ve jeopolitik gelişmeler izin verdiği ölçüde ve sürece kullanılabilir. Yönetişimde yapılacak hatalar da fırsatı kolaylıkla heba edebilir. Özel sektörün yatırım sıçrayışı yapabilmesi için her şeyden önce bir beyaz sayfa açmak ve yeni bir hikâye ortaya koyabilmek lazım. Reformları yapmadan tüketim kısmen normale dönebilir, biraz da yatırım artışı sağlanabilir. Ama daha fazlası değil.</w:t>
      </w:r>
    </w:p>
    <w:p w:rsidR="001879B9" w:rsidRPr="00402F30" w:rsidRDefault="001879B9" w:rsidP="00A26BA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color w:val="943634" w:themeColor="accent2" w:themeShade="BF"/>
        </w:rPr>
      </w:pPr>
    </w:p>
    <w:p w:rsidR="00402F30" w:rsidRPr="00402F30" w:rsidRDefault="00402F30" w:rsidP="00402F30">
      <w:pPr>
        <w:pStyle w:val="NormalWeb"/>
        <w:spacing w:before="0" w:beforeAutospacing="0" w:after="0" w:afterAutospacing="0"/>
        <w:jc w:val="both"/>
        <w:rPr>
          <w:rFonts w:asciiTheme="minorHAnsi" w:hAnsiTheme="minorHAnsi" w:cs="Calibri"/>
          <w:b/>
          <w:color w:val="943634" w:themeColor="accent2" w:themeShade="BF"/>
          <w:sz w:val="22"/>
          <w:szCs w:val="22"/>
        </w:rPr>
      </w:pPr>
    </w:p>
    <w:p w:rsidR="00402F30" w:rsidRPr="00402F30" w:rsidRDefault="00402F30" w:rsidP="00402F30">
      <w:pPr>
        <w:pBdr>
          <w:top w:val="single" w:sz="4" w:space="1" w:color="auto"/>
          <w:left w:val="single" w:sz="4" w:space="4" w:color="auto"/>
          <w:bottom w:val="single" w:sz="4" w:space="0" w:color="auto"/>
          <w:right w:val="single" w:sz="4" w:space="4" w:color="auto"/>
        </w:pBdr>
        <w:spacing w:after="0" w:line="240" w:lineRule="auto"/>
        <w:rPr>
          <w:rFonts w:eastAsia="Times New Roman" w:cs="Calibri"/>
          <w:i/>
          <w:color w:val="943634" w:themeColor="accent2" w:themeShade="BF"/>
        </w:rPr>
      </w:pPr>
      <w:r w:rsidRPr="00402F30">
        <w:rPr>
          <w:rFonts w:eastAsia="Times New Roman" w:cs="Calibri"/>
          <w:b/>
          <w:color w:val="943634" w:themeColor="accent2" w:themeShade="BF"/>
        </w:rPr>
        <w:t xml:space="preserve">Mahfi EĞİLMEZ,  </w:t>
      </w:r>
      <w:r w:rsidRPr="00402F30">
        <w:rPr>
          <w:rFonts w:eastAsia="Times New Roman" w:cs="Calibri"/>
          <w:i/>
          <w:color w:val="943634" w:themeColor="accent2" w:themeShade="BF"/>
        </w:rPr>
        <w:t xml:space="preserve">30 Eylül 2019 </w:t>
      </w:r>
    </w:p>
    <w:p w:rsidR="00402F30" w:rsidRPr="00402F30" w:rsidRDefault="00402F30" w:rsidP="00402F30">
      <w:pPr>
        <w:pBdr>
          <w:top w:val="single" w:sz="4" w:space="1" w:color="auto"/>
          <w:left w:val="single" w:sz="4" w:space="4" w:color="auto"/>
          <w:bottom w:val="single" w:sz="4" w:space="0" w:color="auto"/>
          <w:right w:val="single" w:sz="4" w:space="4" w:color="auto"/>
        </w:pBdr>
        <w:spacing w:after="0" w:line="240" w:lineRule="auto"/>
        <w:rPr>
          <w:rFonts w:eastAsia="Times New Roman" w:cs="Calibri"/>
          <w:b/>
          <w:bCs/>
          <w:color w:val="943634" w:themeColor="accent2" w:themeShade="BF"/>
        </w:rPr>
      </w:pPr>
      <w:r w:rsidRPr="00402F30">
        <w:rPr>
          <w:rFonts w:eastAsia="Times New Roman" w:cs="Calibri"/>
          <w:b/>
          <w:bCs/>
          <w:color w:val="943634" w:themeColor="accent2" w:themeShade="BF"/>
        </w:rPr>
        <w:t xml:space="preserve">Ekonomist </w:t>
      </w:r>
    </w:p>
    <w:p w:rsidR="00402F30" w:rsidRPr="00402F30" w:rsidRDefault="00402F30" w:rsidP="00402F30">
      <w:pPr>
        <w:pBdr>
          <w:top w:val="single" w:sz="4" w:space="1" w:color="auto"/>
          <w:left w:val="single" w:sz="4" w:space="4" w:color="auto"/>
          <w:bottom w:val="single" w:sz="4" w:space="0" w:color="auto"/>
          <w:right w:val="single" w:sz="4" w:space="4" w:color="auto"/>
        </w:pBdr>
        <w:spacing w:after="0" w:line="240" w:lineRule="auto"/>
        <w:rPr>
          <w:rFonts w:eastAsia="Times New Roman" w:cs="Calibri"/>
          <w:b/>
          <w:bCs/>
          <w:color w:val="943634" w:themeColor="accent2" w:themeShade="BF"/>
        </w:rPr>
      </w:pPr>
    </w:p>
    <w:p w:rsidR="00A26BA6" w:rsidRDefault="00402F30" w:rsidP="00402F30">
      <w:pPr>
        <w:pBdr>
          <w:top w:val="single" w:sz="4" w:space="1" w:color="auto"/>
          <w:left w:val="single" w:sz="4" w:space="4" w:color="auto"/>
          <w:bottom w:val="single" w:sz="4" w:space="0" w:color="auto"/>
          <w:right w:val="single" w:sz="4" w:space="4" w:color="auto"/>
        </w:pBdr>
        <w:spacing w:after="0" w:line="240" w:lineRule="auto"/>
        <w:jc w:val="both"/>
        <w:rPr>
          <w:rFonts w:eastAsia="Times New Roman" w:cs="Calibri"/>
          <w:bCs/>
        </w:rPr>
      </w:pPr>
      <w:r w:rsidRPr="00402F30">
        <w:rPr>
          <w:rFonts w:eastAsia="Times New Roman" w:cs="Calibri"/>
          <w:bCs/>
        </w:rPr>
        <w:t xml:space="preserve">2019 yılı son derecede olumsuz başlamış bir yıl olarak tarihe geçecek. Yılın son çeyreği ise bu olumsuz yılı az da olsa toparlayabilecek bir dönem olabilir. Bunun için riskleri düşürmeye zaman ayırmak ve kafa yormak şart. Çünkü son çeyreği kurtarmak için enflasyon düşüşü ve TL’nin dış değerinin biraz güçlenmesinin yanı sıra halen 350 </w:t>
      </w:r>
      <w:proofErr w:type="gramStart"/>
      <w:r w:rsidRPr="00402F30">
        <w:rPr>
          <w:rFonts w:eastAsia="Times New Roman" w:cs="Calibri"/>
          <w:bCs/>
        </w:rPr>
        <w:t>baz</w:t>
      </w:r>
      <w:proofErr w:type="gramEnd"/>
      <w:r w:rsidRPr="00402F30">
        <w:rPr>
          <w:rFonts w:eastAsia="Times New Roman" w:cs="Calibri"/>
          <w:bCs/>
        </w:rPr>
        <w:t xml:space="preserve"> puanın üzerinde seyreden CDS priminin de 300’ün altına düşmesi gerekli görünüyor. Türkiye’nin artık panik halinde sürekli kısa döneme yönelik faizi, kuru ayarlama, borsayı yükseltme çabalarının yanına mutlaka uzun vadeye dönük reformları eklemesi gerekiyor.</w:t>
      </w:r>
    </w:p>
    <w:p w:rsidR="001879B9" w:rsidRPr="00402F30" w:rsidRDefault="001879B9" w:rsidP="00402F30">
      <w:pPr>
        <w:pBdr>
          <w:top w:val="single" w:sz="4" w:space="1" w:color="auto"/>
          <w:left w:val="single" w:sz="4" w:space="4" w:color="auto"/>
          <w:bottom w:val="single" w:sz="4" w:space="0" w:color="auto"/>
          <w:right w:val="single" w:sz="4" w:space="4" w:color="auto"/>
        </w:pBdr>
        <w:spacing w:after="0" w:line="240" w:lineRule="auto"/>
        <w:jc w:val="both"/>
        <w:rPr>
          <w:rFonts w:eastAsia="Times New Roman" w:cs="Calibri"/>
          <w:bCs/>
        </w:rPr>
      </w:pPr>
    </w:p>
    <w:p w:rsidR="00402F30" w:rsidRPr="00402F30" w:rsidRDefault="00402F30" w:rsidP="00402F30">
      <w:pPr>
        <w:pStyle w:val="NormalWeb"/>
        <w:spacing w:before="0" w:beforeAutospacing="0" w:after="0" w:afterAutospacing="0"/>
        <w:jc w:val="both"/>
        <w:rPr>
          <w:rFonts w:asciiTheme="minorHAnsi" w:hAnsiTheme="minorHAnsi" w:cs="Calibri"/>
          <w:b/>
          <w:color w:val="943634" w:themeColor="accent2" w:themeShade="BF"/>
          <w:sz w:val="22"/>
          <w:szCs w:val="22"/>
        </w:rPr>
      </w:pP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i/>
          <w:color w:val="943634" w:themeColor="accent2" w:themeShade="BF"/>
        </w:rPr>
      </w:pPr>
      <w:proofErr w:type="spellStart"/>
      <w:r w:rsidRPr="00402F30">
        <w:rPr>
          <w:rFonts w:eastAsia="Times New Roman" w:cs="Calibri"/>
          <w:b/>
          <w:color w:val="943634" w:themeColor="accent2" w:themeShade="BF"/>
        </w:rPr>
        <w:t>Şekib</w:t>
      </w:r>
      <w:proofErr w:type="spellEnd"/>
      <w:r w:rsidRPr="00402F30">
        <w:rPr>
          <w:rFonts w:eastAsia="Times New Roman" w:cs="Calibri"/>
          <w:b/>
          <w:color w:val="943634" w:themeColor="accent2" w:themeShade="BF"/>
        </w:rPr>
        <w:t xml:space="preserve"> AVDAGİÇ, </w:t>
      </w:r>
      <w:r w:rsidRPr="00402F30">
        <w:rPr>
          <w:rFonts w:eastAsia="Times New Roman" w:cs="Calibri"/>
          <w:i/>
          <w:color w:val="943634" w:themeColor="accent2" w:themeShade="BF"/>
        </w:rPr>
        <w:t>23 Eylül</w:t>
      </w:r>
      <w:r w:rsidRPr="00402F30">
        <w:rPr>
          <w:rFonts w:eastAsia="Times New Roman" w:cs="Calibri"/>
          <w:b/>
          <w:color w:val="943634" w:themeColor="accent2" w:themeShade="BF"/>
        </w:rPr>
        <w:t xml:space="preserve"> </w:t>
      </w:r>
      <w:r w:rsidRPr="00402F30">
        <w:rPr>
          <w:rFonts w:eastAsia="Times New Roman" w:cs="Calibri"/>
          <w:i/>
          <w:color w:val="943634" w:themeColor="accent2" w:themeShade="BF"/>
        </w:rPr>
        <w:t xml:space="preserve">2019 </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b/>
          <w:bCs/>
          <w:color w:val="943634" w:themeColor="accent2" w:themeShade="BF"/>
        </w:rPr>
      </w:pPr>
      <w:r w:rsidRPr="00402F30">
        <w:rPr>
          <w:rFonts w:eastAsia="Times New Roman" w:cstheme="minorHAnsi"/>
          <w:b/>
          <w:color w:val="943634" w:themeColor="accent2" w:themeShade="BF"/>
        </w:rPr>
        <w:t>İstanbul Ticaret Odası (İTO) Başkanı</w:t>
      </w:r>
    </w:p>
    <w:p w:rsidR="00402F30" w:rsidRPr="00402F30" w:rsidRDefault="00402F30" w:rsidP="00402F30">
      <w:pPr>
        <w:pBdr>
          <w:top w:val="single" w:sz="4" w:space="1" w:color="auto"/>
          <w:left w:val="single" w:sz="4" w:space="4" w:color="auto"/>
          <w:bottom w:val="single" w:sz="4" w:space="1" w:color="auto"/>
          <w:right w:val="single" w:sz="4" w:space="4" w:color="auto"/>
        </w:pBdr>
        <w:spacing w:after="0" w:line="240" w:lineRule="auto"/>
        <w:rPr>
          <w:rFonts w:eastAsia="Times New Roman" w:cs="Calibri"/>
          <w:b/>
          <w:bCs/>
          <w:color w:val="943634" w:themeColor="accent2" w:themeShade="BF"/>
        </w:rPr>
      </w:pPr>
    </w:p>
    <w:p w:rsidR="00402F30" w:rsidRDefault="00402F30" w:rsidP="00A26BA6">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rPr>
      </w:pPr>
      <w:r w:rsidRPr="00402F30">
        <w:rPr>
          <w:rFonts w:eastAsia="Times New Roman" w:cs="Calibri"/>
          <w:bCs/>
        </w:rPr>
        <w:t>Özel sektör bilançolarının güçlendirilebilmesi için 5 konunun hızla açıklığa kavuşmasını çok önemli görüyoruz…</w:t>
      </w:r>
      <w:r w:rsidRPr="00402F30">
        <w:t xml:space="preserve"> </w:t>
      </w:r>
      <w:r w:rsidRPr="00402F30">
        <w:rPr>
          <w:rFonts w:eastAsia="Times New Roman" w:cs="Calibri"/>
          <w:bCs/>
        </w:rPr>
        <w:t xml:space="preserve">İlk olarak, finansal yeniden yapılandırma kapsamına alınacak borçluların, mali durumunun tespiti ve finansal yeniden yapılandırmanın uygulanabilirliğine ilişkin değerlendirmeyi yapacak 'finansal denetim kuruluşlarının' seçimine ilişkin </w:t>
      </w:r>
      <w:proofErr w:type="gramStart"/>
      <w:r w:rsidRPr="00402F30">
        <w:rPr>
          <w:rFonts w:eastAsia="Times New Roman" w:cs="Calibri"/>
          <w:bCs/>
        </w:rPr>
        <w:t>kriterleri</w:t>
      </w:r>
      <w:proofErr w:type="gramEnd"/>
      <w:r w:rsidRPr="00402F30">
        <w:rPr>
          <w:rFonts w:eastAsia="Times New Roman" w:cs="Calibri"/>
          <w:bCs/>
        </w:rPr>
        <w:t xml:space="preserve">, </w:t>
      </w:r>
      <w:proofErr w:type="spellStart"/>
      <w:r w:rsidRPr="00402F30">
        <w:rPr>
          <w:rFonts w:eastAsia="Times New Roman" w:cs="Calibri"/>
          <w:bCs/>
        </w:rPr>
        <w:t>BDDK'nın</w:t>
      </w:r>
      <w:proofErr w:type="spellEnd"/>
      <w:r w:rsidRPr="00402F30">
        <w:rPr>
          <w:rFonts w:eastAsia="Times New Roman" w:cs="Calibri"/>
          <w:bCs/>
        </w:rPr>
        <w:t xml:space="preserve"> hızlıca ortaya koyması önemli. Bu hızla belirlenmeli ki, firmalar kiminle muhatap olacağını bilsin. İkinci önemli konu, yapılacak başvurular hangi </w:t>
      </w:r>
      <w:proofErr w:type="gramStart"/>
      <w:r w:rsidRPr="00402F30">
        <w:rPr>
          <w:rFonts w:eastAsia="Times New Roman" w:cs="Calibri"/>
          <w:bCs/>
        </w:rPr>
        <w:t>kriterler</w:t>
      </w:r>
      <w:proofErr w:type="gramEnd"/>
      <w:r w:rsidRPr="00402F30">
        <w:rPr>
          <w:rFonts w:eastAsia="Times New Roman" w:cs="Calibri"/>
          <w:bCs/>
        </w:rPr>
        <w:t xml:space="preserve"> doğrultusunda sıraya konulacak? Bu önceliği, sıralamayı kim, neye göre belirleyecek? Üçüncü konu, elbette yeniden yapılandırmaya uygun olamayan firmalar da olabilir. Bu firmalar için alternatif bir süreç ortaya konulacak mı? Bir diğer konu; borç yapılandırma kapsamındaki firmaların kamu borçlarının da vergi ve SGK borçları gibi yeniden yapılandırılması gerçekten çok önemli. Yoksa bir ayağı gerçekten eksik kalacaktır. Son konu: Bankaların mevcut sistemlerini değiştirmeden yapılacak yeniden yapılandırma, bankaların yeni kredi verme imkânını sınırlayacaktır. Bu da tabi düzgün çalışan ve kredi ihtiyacı olan firmalar için sıkıntılı bir durum. Yani bu yeniden yapılandırma bankaların sağlıklı müşterilerine vereceği kredi paketini olumsuz etkilememeli. Buna bir çözüm bulunmalı. Yoksa bu, bir tarafı toparlarken diğer sağlıklı giden tarafa ciddi sıkıntılar doğuracaktır.</w:t>
      </w:r>
    </w:p>
    <w:p w:rsidR="00A26BA6" w:rsidRDefault="00A26BA6" w:rsidP="00A26BA6">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color w:val="943634" w:themeColor="accent2" w:themeShade="BF"/>
        </w:rPr>
      </w:pPr>
    </w:p>
    <w:p w:rsidR="00402F30" w:rsidRDefault="00402F30" w:rsidP="00402F30">
      <w:pPr>
        <w:pStyle w:val="NormalWeb"/>
        <w:spacing w:before="0" w:beforeAutospacing="0" w:after="0" w:afterAutospacing="0"/>
        <w:jc w:val="both"/>
        <w:rPr>
          <w:rFonts w:asciiTheme="minorHAnsi" w:hAnsiTheme="minorHAnsi" w:cs="Calibri"/>
          <w:b/>
          <w:color w:val="943634" w:themeColor="accent2" w:themeShade="BF"/>
          <w:sz w:val="22"/>
          <w:szCs w:val="22"/>
          <w:highlight w:val="yellow"/>
        </w:rPr>
      </w:pPr>
    </w:p>
    <w:p w:rsidR="00402F30" w:rsidRDefault="00402F30" w:rsidP="00402F30">
      <w:pPr>
        <w:pBdr>
          <w:top w:val="single" w:sz="4" w:space="1" w:color="auto"/>
          <w:left w:val="single" w:sz="4" w:space="4" w:color="auto"/>
          <w:bottom w:val="single" w:sz="4" w:space="0" w:color="auto"/>
          <w:right w:val="single" w:sz="4" w:space="4" w:color="auto"/>
        </w:pBdr>
        <w:spacing w:after="0" w:line="240" w:lineRule="auto"/>
        <w:rPr>
          <w:rFonts w:eastAsia="Times New Roman" w:cs="Calibri"/>
          <w:i/>
          <w:color w:val="943634" w:themeColor="accent2" w:themeShade="BF"/>
        </w:rPr>
      </w:pPr>
      <w:proofErr w:type="spellStart"/>
      <w:r>
        <w:rPr>
          <w:rFonts w:eastAsia="Times New Roman" w:cs="Calibri"/>
          <w:b/>
          <w:color w:val="943634" w:themeColor="accent2" w:themeShade="BF"/>
        </w:rPr>
        <w:t>Alaattin</w:t>
      </w:r>
      <w:proofErr w:type="spellEnd"/>
      <w:r>
        <w:rPr>
          <w:rFonts w:eastAsia="Times New Roman" w:cs="Calibri"/>
          <w:b/>
          <w:color w:val="943634" w:themeColor="accent2" w:themeShade="BF"/>
        </w:rPr>
        <w:t xml:space="preserve"> AKTAŞ,  </w:t>
      </w:r>
      <w:r>
        <w:rPr>
          <w:rFonts w:eastAsia="Times New Roman" w:cs="Calibri"/>
          <w:i/>
          <w:color w:val="943634" w:themeColor="accent2" w:themeShade="BF"/>
        </w:rPr>
        <w:t xml:space="preserve">20 Eylül 2019, Dünya Gazetesi </w:t>
      </w:r>
    </w:p>
    <w:p w:rsidR="00402F30" w:rsidRDefault="00402F30" w:rsidP="00402F30">
      <w:pPr>
        <w:pBdr>
          <w:top w:val="single" w:sz="4" w:space="1" w:color="auto"/>
          <w:left w:val="single" w:sz="4" w:space="4" w:color="auto"/>
          <w:bottom w:val="single" w:sz="4" w:space="0" w:color="auto"/>
          <w:right w:val="single" w:sz="4" w:space="4" w:color="auto"/>
        </w:pBdr>
        <w:spacing w:after="0" w:line="240" w:lineRule="auto"/>
        <w:rPr>
          <w:rFonts w:eastAsia="Times New Roman" w:cs="Calibri"/>
          <w:b/>
          <w:bCs/>
          <w:color w:val="943634" w:themeColor="accent2" w:themeShade="BF"/>
        </w:rPr>
      </w:pPr>
      <w:r>
        <w:rPr>
          <w:rFonts w:eastAsia="Times New Roman" w:cs="Calibri"/>
          <w:b/>
          <w:bCs/>
          <w:color w:val="943634" w:themeColor="accent2" w:themeShade="BF"/>
        </w:rPr>
        <w:t>Köşe Yazarı</w:t>
      </w:r>
    </w:p>
    <w:p w:rsidR="00402F30" w:rsidRDefault="00402F30" w:rsidP="00402F30">
      <w:pPr>
        <w:pBdr>
          <w:top w:val="single" w:sz="4" w:space="1" w:color="auto"/>
          <w:left w:val="single" w:sz="4" w:space="4" w:color="auto"/>
          <w:bottom w:val="single" w:sz="4" w:space="0" w:color="auto"/>
          <w:right w:val="single" w:sz="4" w:space="4" w:color="auto"/>
        </w:pBdr>
        <w:spacing w:after="0" w:line="240" w:lineRule="auto"/>
        <w:rPr>
          <w:rFonts w:eastAsia="Times New Roman" w:cs="Calibri"/>
          <w:b/>
          <w:bCs/>
          <w:color w:val="943634" w:themeColor="accent2" w:themeShade="BF"/>
        </w:rPr>
      </w:pPr>
    </w:p>
    <w:p w:rsidR="001879B9" w:rsidRDefault="00402F30" w:rsidP="00A26BA6">
      <w:pPr>
        <w:pBdr>
          <w:top w:val="single" w:sz="4" w:space="1" w:color="auto"/>
          <w:left w:val="single" w:sz="4" w:space="4" w:color="auto"/>
          <w:bottom w:val="single" w:sz="4" w:space="0" w:color="auto"/>
          <w:right w:val="single" w:sz="4" w:space="4" w:color="auto"/>
        </w:pBdr>
        <w:spacing w:after="0" w:line="240" w:lineRule="auto"/>
        <w:jc w:val="both"/>
        <w:rPr>
          <w:rFonts w:eastAsia="Times New Roman" w:cs="Calibri"/>
          <w:bCs/>
        </w:rPr>
      </w:pPr>
      <w:r>
        <w:rPr>
          <w:rFonts w:eastAsia="Times New Roman" w:cs="Calibri"/>
          <w:bCs/>
        </w:rPr>
        <w:t xml:space="preserve">Konut kredisi faizini öyle aylar boyu bu düzeyde (%0,99) tutamayız. Dökme suyla değirmen döndürmeye çalışıyoruz, dolayısıyla satışlar birkaç ay daha yüksek seyredebilir, sonra kendi normalimize döneriz. En büyük sorunumuz ise konut kredisi faizi sıfıra indirilse bile çok geniş bir kesimin konut almaya hiç niyetlenemeyecek gelir düzeyine sahip olması… </w:t>
      </w:r>
    </w:p>
    <w:sectPr w:rsidR="001879B9" w:rsidSect="00FB34BE">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64" w:rsidRDefault="00467764" w:rsidP="00923960">
      <w:pPr>
        <w:spacing w:after="0" w:line="240" w:lineRule="auto"/>
      </w:pPr>
      <w:r>
        <w:separator/>
      </w:r>
    </w:p>
  </w:endnote>
  <w:endnote w:type="continuationSeparator" w:id="0">
    <w:p w:rsidR="00467764" w:rsidRDefault="00467764" w:rsidP="0092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Soho Gothic Pro">
    <w:altName w:val="Arial"/>
    <w:panose1 w:val="00000000000000000000"/>
    <w:charset w:val="A2"/>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494391"/>
      <w:docPartObj>
        <w:docPartGallery w:val="Page Numbers (Bottom of Page)"/>
        <w:docPartUnique/>
      </w:docPartObj>
    </w:sdtPr>
    <w:sdtContent>
      <w:p w:rsidR="0087203D" w:rsidRDefault="00521CF2">
        <w:pPr>
          <w:pStyle w:val="Altbilgi"/>
          <w:jc w:val="right"/>
        </w:pPr>
        <w:r>
          <w:rPr>
            <w:noProof/>
          </w:rPr>
          <w:fldChar w:fldCharType="begin"/>
        </w:r>
        <w:r w:rsidR="0087203D">
          <w:rPr>
            <w:noProof/>
          </w:rPr>
          <w:instrText xml:space="preserve"> PAGE   \* MERGEFORMAT </w:instrText>
        </w:r>
        <w:r>
          <w:rPr>
            <w:noProof/>
          </w:rPr>
          <w:fldChar w:fldCharType="separate"/>
        </w:r>
        <w:r w:rsidR="00040642">
          <w:rPr>
            <w:noProof/>
          </w:rPr>
          <w:t>14</w:t>
        </w:r>
        <w:r>
          <w:rPr>
            <w:noProof/>
          </w:rPr>
          <w:fldChar w:fldCharType="end"/>
        </w:r>
      </w:p>
    </w:sdtContent>
  </w:sdt>
  <w:p w:rsidR="0087203D" w:rsidRDefault="008720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64" w:rsidRDefault="00467764" w:rsidP="00923960">
      <w:pPr>
        <w:spacing w:after="0" w:line="240" w:lineRule="auto"/>
      </w:pPr>
      <w:r>
        <w:separator/>
      </w:r>
    </w:p>
  </w:footnote>
  <w:footnote w:type="continuationSeparator" w:id="0">
    <w:p w:rsidR="00467764" w:rsidRDefault="00467764" w:rsidP="0092396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Kullanıcısı">
    <w15:presenceInfo w15:providerId="None" w15:userId="Windows Kullanıcısı"/>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9642C2"/>
    <w:rsid w:val="00002F9D"/>
    <w:rsid w:val="00007E02"/>
    <w:rsid w:val="00012C7B"/>
    <w:rsid w:val="00013FFB"/>
    <w:rsid w:val="0001579F"/>
    <w:rsid w:val="00017BB0"/>
    <w:rsid w:val="00022BA7"/>
    <w:rsid w:val="000242F7"/>
    <w:rsid w:val="0003478A"/>
    <w:rsid w:val="00040642"/>
    <w:rsid w:val="00044BD9"/>
    <w:rsid w:val="00053E4B"/>
    <w:rsid w:val="000666D2"/>
    <w:rsid w:val="000713CC"/>
    <w:rsid w:val="000800D2"/>
    <w:rsid w:val="00086BAE"/>
    <w:rsid w:val="00090EFE"/>
    <w:rsid w:val="00091F76"/>
    <w:rsid w:val="00093E81"/>
    <w:rsid w:val="00094F94"/>
    <w:rsid w:val="000A64B9"/>
    <w:rsid w:val="000B205A"/>
    <w:rsid w:val="000B7192"/>
    <w:rsid w:val="000C3125"/>
    <w:rsid w:val="000D3A6C"/>
    <w:rsid w:val="000D481F"/>
    <w:rsid w:val="000D48D7"/>
    <w:rsid w:val="000E1A81"/>
    <w:rsid w:val="000E3636"/>
    <w:rsid w:val="000F5360"/>
    <w:rsid w:val="0010641B"/>
    <w:rsid w:val="00106B37"/>
    <w:rsid w:val="00107209"/>
    <w:rsid w:val="001145E3"/>
    <w:rsid w:val="00114CFA"/>
    <w:rsid w:val="00114EDE"/>
    <w:rsid w:val="001178B9"/>
    <w:rsid w:val="00120294"/>
    <w:rsid w:val="0012269C"/>
    <w:rsid w:val="00123A2E"/>
    <w:rsid w:val="00125AF3"/>
    <w:rsid w:val="00132110"/>
    <w:rsid w:val="001379C9"/>
    <w:rsid w:val="00142D0D"/>
    <w:rsid w:val="001541EF"/>
    <w:rsid w:val="00155F86"/>
    <w:rsid w:val="00156AEB"/>
    <w:rsid w:val="00157443"/>
    <w:rsid w:val="0016079D"/>
    <w:rsid w:val="0016545C"/>
    <w:rsid w:val="00172FB2"/>
    <w:rsid w:val="0018455B"/>
    <w:rsid w:val="00185CF6"/>
    <w:rsid w:val="001876DF"/>
    <w:rsid w:val="001879B9"/>
    <w:rsid w:val="001902E1"/>
    <w:rsid w:val="0019268D"/>
    <w:rsid w:val="0019372A"/>
    <w:rsid w:val="001B1C47"/>
    <w:rsid w:val="001C5800"/>
    <w:rsid w:val="001F3545"/>
    <w:rsid w:val="002161D6"/>
    <w:rsid w:val="00216BFF"/>
    <w:rsid w:val="00222254"/>
    <w:rsid w:val="0022271C"/>
    <w:rsid w:val="002320BF"/>
    <w:rsid w:val="002407E8"/>
    <w:rsid w:val="00246312"/>
    <w:rsid w:val="00246B46"/>
    <w:rsid w:val="00246CB8"/>
    <w:rsid w:val="0025366F"/>
    <w:rsid w:val="00254810"/>
    <w:rsid w:val="00254F78"/>
    <w:rsid w:val="00263F39"/>
    <w:rsid w:val="002676EA"/>
    <w:rsid w:val="00293693"/>
    <w:rsid w:val="00296F95"/>
    <w:rsid w:val="002A0242"/>
    <w:rsid w:val="002A15E8"/>
    <w:rsid w:val="002A3830"/>
    <w:rsid w:val="002A6505"/>
    <w:rsid w:val="002B3950"/>
    <w:rsid w:val="002B396C"/>
    <w:rsid w:val="002B63BB"/>
    <w:rsid w:val="002B746D"/>
    <w:rsid w:val="002C3C05"/>
    <w:rsid w:val="002C58A6"/>
    <w:rsid w:val="002C666C"/>
    <w:rsid w:val="002D08B3"/>
    <w:rsid w:val="002D252B"/>
    <w:rsid w:val="002D2E83"/>
    <w:rsid w:val="002E05DC"/>
    <w:rsid w:val="002E0BE1"/>
    <w:rsid w:val="002E12BE"/>
    <w:rsid w:val="002E2451"/>
    <w:rsid w:val="002E2E78"/>
    <w:rsid w:val="002E40D0"/>
    <w:rsid w:val="002F7ECB"/>
    <w:rsid w:val="0030361B"/>
    <w:rsid w:val="00303C74"/>
    <w:rsid w:val="00311882"/>
    <w:rsid w:val="00313DFB"/>
    <w:rsid w:val="00317867"/>
    <w:rsid w:val="00322D9F"/>
    <w:rsid w:val="00324A8D"/>
    <w:rsid w:val="003410BC"/>
    <w:rsid w:val="003419C6"/>
    <w:rsid w:val="0035183C"/>
    <w:rsid w:val="00352C41"/>
    <w:rsid w:val="00353507"/>
    <w:rsid w:val="003569FC"/>
    <w:rsid w:val="00363068"/>
    <w:rsid w:val="003630E5"/>
    <w:rsid w:val="00365D89"/>
    <w:rsid w:val="003834AD"/>
    <w:rsid w:val="0038688A"/>
    <w:rsid w:val="003A0804"/>
    <w:rsid w:val="003B412B"/>
    <w:rsid w:val="003C02EB"/>
    <w:rsid w:val="003C0E15"/>
    <w:rsid w:val="003C78B4"/>
    <w:rsid w:val="003D16EA"/>
    <w:rsid w:val="003E1B1B"/>
    <w:rsid w:val="003E7317"/>
    <w:rsid w:val="003F3A0E"/>
    <w:rsid w:val="00402519"/>
    <w:rsid w:val="00402F30"/>
    <w:rsid w:val="00407F9E"/>
    <w:rsid w:val="004108D8"/>
    <w:rsid w:val="004141D2"/>
    <w:rsid w:val="004178F9"/>
    <w:rsid w:val="00421456"/>
    <w:rsid w:val="00427003"/>
    <w:rsid w:val="00431D82"/>
    <w:rsid w:val="0043588F"/>
    <w:rsid w:val="00435DD0"/>
    <w:rsid w:val="00436C51"/>
    <w:rsid w:val="0044027A"/>
    <w:rsid w:val="00453ED6"/>
    <w:rsid w:val="00457297"/>
    <w:rsid w:val="00467008"/>
    <w:rsid w:val="00467764"/>
    <w:rsid w:val="00467B1D"/>
    <w:rsid w:val="00472D18"/>
    <w:rsid w:val="00472F7F"/>
    <w:rsid w:val="00474F85"/>
    <w:rsid w:val="00477E25"/>
    <w:rsid w:val="00482D93"/>
    <w:rsid w:val="004873FE"/>
    <w:rsid w:val="00492AE2"/>
    <w:rsid w:val="004964C6"/>
    <w:rsid w:val="004A36E3"/>
    <w:rsid w:val="004A78DF"/>
    <w:rsid w:val="004B1F38"/>
    <w:rsid w:val="004B3E01"/>
    <w:rsid w:val="004B50F1"/>
    <w:rsid w:val="004B6E8F"/>
    <w:rsid w:val="004C7283"/>
    <w:rsid w:val="004D7FE6"/>
    <w:rsid w:val="004E1754"/>
    <w:rsid w:val="004F0B5F"/>
    <w:rsid w:val="004F343C"/>
    <w:rsid w:val="004F5D6B"/>
    <w:rsid w:val="005015F3"/>
    <w:rsid w:val="00504E57"/>
    <w:rsid w:val="00505DD0"/>
    <w:rsid w:val="005061A8"/>
    <w:rsid w:val="00506675"/>
    <w:rsid w:val="00512AAB"/>
    <w:rsid w:val="0051394F"/>
    <w:rsid w:val="00521CF2"/>
    <w:rsid w:val="00525EB5"/>
    <w:rsid w:val="00527CA3"/>
    <w:rsid w:val="005357F3"/>
    <w:rsid w:val="0053670F"/>
    <w:rsid w:val="00542A1E"/>
    <w:rsid w:val="00544091"/>
    <w:rsid w:val="0055166A"/>
    <w:rsid w:val="0055302E"/>
    <w:rsid w:val="0055428F"/>
    <w:rsid w:val="005543BA"/>
    <w:rsid w:val="00556B3B"/>
    <w:rsid w:val="00557218"/>
    <w:rsid w:val="00565D4A"/>
    <w:rsid w:val="00570872"/>
    <w:rsid w:val="0057277B"/>
    <w:rsid w:val="00592D07"/>
    <w:rsid w:val="005A246C"/>
    <w:rsid w:val="005B119A"/>
    <w:rsid w:val="005B6F0A"/>
    <w:rsid w:val="005C56A7"/>
    <w:rsid w:val="005D0ABA"/>
    <w:rsid w:val="005D6605"/>
    <w:rsid w:val="005E54D7"/>
    <w:rsid w:val="005E67AE"/>
    <w:rsid w:val="005F3A50"/>
    <w:rsid w:val="005F6473"/>
    <w:rsid w:val="0060596F"/>
    <w:rsid w:val="00607228"/>
    <w:rsid w:val="006102F5"/>
    <w:rsid w:val="006273D9"/>
    <w:rsid w:val="00627D74"/>
    <w:rsid w:val="00633880"/>
    <w:rsid w:val="00641A6D"/>
    <w:rsid w:val="00644203"/>
    <w:rsid w:val="00647514"/>
    <w:rsid w:val="0065508D"/>
    <w:rsid w:val="006578F3"/>
    <w:rsid w:val="00672304"/>
    <w:rsid w:val="00672D96"/>
    <w:rsid w:val="00684AE4"/>
    <w:rsid w:val="006A2263"/>
    <w:rsid w:val="006B0BA5"/>
    <w:rsid w:val="006B1F74"/>
    <w:rsid w:val="006B5500"/>
    <w:rsid w:val="006B6111"/>
    <w:rsid w:val="006D5388"/>
    <w:rsid w:val="006D65EF"/>
    <w:rsid w:val="006D79A2"/>
    <w:rsid w:val="006E0368"/>
    <w:rsid w:val="006E3EFD"/>
    <w:rsid w:val="006E7F12"/>
    <w:rsid w:val="006F01D4"/>
    <w:rsid w:val="006F7AAE"/>
    <w:rsid w:val="00703D77"/>
    <w:rsid w:val="007041C3"/>
    <w:rsid w:val="00707D9D"/>
    <w:rsid w:val="00712B14"/>
    <w:rsid w:val="00713008"/>
    <w:rsid w:val="00726D27"/>
    <w:rsid w:val="007277DF"/>
    <w:rsid w:val="00734759"/>
    <w:rsid w:val="0073749A"/>
    <w:rsid w:val="0074026B"/>
    <w:rsid w:val="0074332B"/>
    <w:rsid w:val="007663A7"/>
    <w:rsid w:val="00782864"/>
    <w:rsid w:val="007829DB"/>
    <w:rsid w:val="007849B2"/>
    <w:rsid w:val="00785A85"/>
    <w:rsid w:val="00787782"/>
    <w:rsid w:val="007A0E41"/>
    <w:rsid w:val="007A1FF2"/>
    <w:rsid w:val="007A481C"/>
    <w:rsid w:val="007B1320"/>
    <w:rsid w:val="007C2A93"/>
    <w:rsid w:val="007C4275"/>
    <w:rsid w:val="007D5D16"/>
    <w:rsid w:val="007F05D3"/>
    <w:rsid w:val="007F4E70"/>
    <w:rsid w:val="00810842"/>
    <w:rsid w:val="008116D5"/>
    <w:rsid w:val="00814ECA"/>
    <w:rsid w:val="0081542D"/>
    <w:rsid w:val="00817E5A"/>
    <w:rsid w:val="008211C8"/>
    <w:rsid w:val="0082413D"/>
    <w:rsid w:val="00825896"/>
    <w:rsid w:val="00830017"/>
    <w:rsid w:val="00830E60"/>
    <w:rsid w:val="008323ED"/>
    <w:rsid w:val="00834D2A"/>
    <w:rsid w:val="00835052"/>
    <w:rsid w:val="00851A9E"/>
    <w:rsid w:val="00867461"/>
    <w:rsid w:val="0087203D"/>
    <w:rsid w:val="008870CE"/>
    <w:rsid w:val="008937AB"/>
    <w:rsid w:val="008C39F4"/>
    <w:rsid w:val="008D0CA6"/>
    <w:rsid w:val="008E1FC7"/>
    <w:rsid w:val="008F72E1"/>
    <w:rsid w:val="00923960"/>
    <w:rsid w:val="00931A1A"/>
    <w:rsid w:val="009404A3"/>
    <w:rsid w:val="0094230B"/>
    <w:rsid w:val="009425DB"/>
    <w:rsid w:val="009448CC"/>
    <w:rsid w:val="00950962"/>
    <w:rsid w:val="00951B93"/>
    <w:rsid w:val="009606BF"/>
    <w:rsid w:val="009642C2"/>
    <w:rsid w:val="0096469C"/>
    <w:rsid w:val="00973663"/>
    <w:rsid w:val="00995FD8"/>
    <w:rsid w:val="009B0AA4"/>
    <w:rsid w:val="009B3D8A"/>
    <w:rsid w:val="009C10BB"/>
    <w:rsid w:val="009D579B"/>
    <w:rsid w:val="009E0C53"/>
    <w:rsid w:val="009E2FB2"/>
    <w:rsid w:val="009F03D6"/>
    <w:rsid w:val="009F791E"/>
    <w:rsid w:val="00A012E8"/>
    <w:rsid w:val="00A0515C"/>
    <w:rsid w:val="00A07CF4"/>
    <w:rsid w:val="00A22099"/>
    <w:rsid w:val="00A26BA6"/>
    <w:rsid w:val="00A333B8"/>
    <w:rsid w:val="00A34C67"/>
    <w:rsid w:val="00A41A58"/>
    <w:rsid w:val="00A5007C"/>
    <w:rsid w:val="00A51CDF"/>
    <w:rsid w:val="00A64A9A"/>
    <w:rsid w:val="00A64BC1"/>
    <w:rsid w:val="00A65E34"/>
    <w:rsid w:val="00A66AA6"/>
    <w:rsid w:val="00A67BAB"/>
    <w:rsid w:val="00A757B0"/>
    <w:rsid w:val="00A84DF0"/>
    <w:rsid w:val="00A90437"/>
    <w:rsid w:val="00A92A61"/>
    <w:rsid w:val="00A97E4B"/>
    <w:rsid w:val="00AA08A5"/>
    <w:rsid w:val="00AB0F1A"/>
    <w:rsid w:val="00AB1E7C"/>
    <w:rsid w:val="00AB4CBC"/>
    <w:rsid w:val="00AC0CBF"/>
    <w:rsid w:val="00AC3EB8"/>
    <w:rsid w:val="00AC67B5"/>
    <w:rsid w:val="00AD07D0"/>
    <w:rsid w:val="00AE498D"/>
    <w:rsid w:val="00AF008B"/>
    <w:rsid w:val="00AF36A6"/>
    <w:rsid w:val="00B11529"/>
    <w:rsid w:val="00B1470D"/>
    <w:rsid w:val="00B1695F"/>
    <w:rsid w:val="00B263CC"/>
    <w:rsid w:val="00B43351"/>
    <w:rsid w:val="00B52BC6"/>
    <w:rsid w:val="00B543B6"/>
    <w:rsid w:val="00B762CE"/>
    <w:rsid w:val="00B773C9"/>
    <w:rsid w:val="00B77A67"/>
    <w:rsid w:val="00B821E3"/>
    <w:rsid w:val="00B8229A"/>
    <w:rsid w:val="00B9301D"/>
    <w:rsid w:val="00B95775"/>
    <w:rsid w:val="00BA2843"/>
    <w:rsid w:val="00BA5A68"/>
    <w:rsid w:val="00BD2B22"/>
    <w:rsid w:val="00BD4AD8"/>
    <w:rsid w:val="00BE70EA"/>
    <w:rsid w:val="00BF1664"/>
    <w:rsid w:val="00BF1710"/>
    <w:rsid w:val="00C01A2F"/>
    <w:rsid w:val="00C03F51"/>
    <w:rsid w:val="00C129E3"/>
    <w:rsid w:val="00C12D87"/>
    <w:rsid w:val="00C21426"/>
    <w:rsid w:val="00C21EBD"/>
    <w:rsid w:val="00C23B67"/>
    <w:rsid w:val="00C25587"/>
    <w:rsid w:val="00C25A44"/>
    <w:rsid w:val="00C26E74"/>
    <w:rsid w:val="00C36585"/>
    <w:rsid w:val="00C36713"/>
    <w:rsid w:val="00C446FB"/>
    <w:rsid w:val="00C62E7A"/>
    <w:rsid w:val="00C66A99"/>
    <w:rsid w:val="00C842A9"/>
    <w:rsid w:val="00C87B6D"/>
    <w:rsid w:val="00CB450E"/>
    <w:rsid w:val="00CB6704"/>
    <w:rsid w:val="00CC3AA3"/>
    <w:rsid w:val="00CC43D9"/>
    <w:rsid w:val="00CD3E59"/>
    <w:rsid w:val="00CE5CA2"/>
    <w:rsid w:val="00CE6F95"/>
    <w:rsid w:val="00CE74D7"/>
    <w:rsid w:val="00CF23DD"/>
    <w:rsid w:val="00CF6E0C"/>
    <w:rsid w:val="00D00FF6"/>
    <w:rsid w:val="00D01D4B"/>
    <w:rsid w:val="00D03552"/>
    <w:rsid w:val="00D13C5F"/>
    <w:rsid w:val="00D17FB5"/>
    <w:rsid w:val="00D22F4F"/>
    <w:rsid w:val="00D31A2A"/>
    <w:rsid w:val="00D4022C"/>
    <w:rsid w:val="00D444D5"/>
    <w:rsid w:val="00D51045"/>
    <w:rsid w:val="00D52649"/>
    <w:rsid w:val="00D55C09"/>
    <w:rsid w:val="00D63F0D"/>
    <w:rsid w:val="00D66302"/>
    <w:rsid w:val="00D92E02"/>
    <w:rsid w:val="00DA65C7"/>
    <w:rsid w:val="00DB58CC"/>
    <w:rsid w:val="00DC1609"/>
    <w:rsid w:val="00DC61D8"/>
    <w:rsid w:val="00DD10A2"/>
    <w:rsid w:val="00DD762F"/>
    <w:rsid w:val="00DE22AE"/>
    <w:rsid w:val="00DF0524"/>
    <w:rsid w:val="00DF2625"/>
    <w:rsid w:val="00E02FF6"/>
    <w:rsid w:val="00E0740A"/>
    <w:rsid w:val="00E141F7"/>
    <w:rsid w:val="00E172E2"/>
    <w:rsid w:val="00E17848"/>
    <w:rsid w:val="00E23A27"/>
    <w:rsid w:val="00E25A04"/>
    <w:rsid w:val="00E43D12"/>
    <w:rsid w:val="00E519AD"/>
    <w:rsid w:val="00E5789B"/>
    <w:rsid w:val="00E641E6"/>
    <w:rsid w:val="00E762E1"/>
    <w:rsid w:val="00E80102"/>
    <w:rsid w:val="00E92D58"/>
    <w:rsid w:val="00E95137"/>
    <w:rsid w:val="00E96DD6"/>
    <w:rsid w:val="00EA1BD9"/>
    <w:rsid w:val="00EB2405"/>
    <w:rsid w:val="00EB6463"/>
    <w:rsid w:val="00EC0627"/>
    <w:rsid w:val="00EC1A39"/>
    <w:rsid w:val="00ED0ACD"/>
    <w:rsid w:val="00ED0E69"/>
    <w:rsid w:val="00EE3AB2"/>
    <w:rsid w:val="00EE54D8"/>
    <w:rsid w:val="00EF0DFB"/>
    <w:rsid w:val="00EF23E0"/>
    <w:rsid w:val="00F07E0E"/>
    <w:rsid w:val="00F07F50"/>
    <w:rsid w:val="00F1482D"/>
    <w:rsid w:val="00F20E87"/>
    <w:rsid w:val="00F276FA"/>
    <w:rsid w:val="00F37A6D"/>
    <w:rsid w:val="00F43842"/>
    <w:rsid w:val="00F46ED1"/>
    <w:rsid w:val="00F575D9"/>
    <w:rsid w:val="00F661CE"/>
    <w:rsid w:val="00F66F7B"/>
    <w:rsid w:val="00F75224"/>
    <w:rsid w:val="00F82958"/>
    <w:rsid w:val="00F87CDD"/>
    <w:rsid w:val="00FA3587"/>
    <w:rsid w:val="00FA76CE"/>
    <w:rsid w:val="00FB34BE"/>
    <w:rsid w:val="00FB6B25"/>
    <w:rsid w:val="00FB77AD"/>
    <w:rsid w:val="00FC5D9B"/>
    <w:rsid w:val="00FC7E3E"/>
    <w:rsid w:val="00FD0A25"/>
    <w:rsid w:val="00FD4A1E"/>
    <w:rsid w:val="00FF18BF"/>
    <w:rsid w:val="00FF21F7"/>
    <w:rsid w:val="00FF57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C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42C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642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42C2"/>
    <w:rPr>
      <w:rFonts w:ascii="Tahoma" w:eastAsiaTheme="minorEastAsia" w:hAnsi="Tahoma" w:cs="Tahoma"/>
      <w:sz w:val="16"/>
      <w:szCs w:val="16"/>
      <w:lang w:eastAsia="tr-TR"/>
    </w:rPr>
  </w:style>
  <w:style w:type="character" w:styleId="AklamaBavurusu">
    <w:name w:val="annotation reference"/>
    <w:basedOn w:val="VarsaylanParagrafYazTipi"/>
    <w:uiPriority w:val="99"/>
    <w:semiHidden/>
    <w:unhideWhenUsed/>
    <w:rsid w:val="00D92E02"/>
    <w:rPr>
      <w:sz w:val="16"/>
      <w:szCs w:val="16"/>
    </w:rPr>
  </w:style>
  <w:style w:type="paragraph" w:styleId="AklamaMetni">
    <w:name w:val="annotation text"/>
    <w:basedOn w:val="Normal"/>
    <w:link w:val="AklamaMetniChar"/>
    <w:uiPriority w:val="99"/>
    <w:semiHidden/>
    <w:unhideWhenUsed/>
    <w:rsid w:val="00D92E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2E02"/>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D92E02"/>
    <w:rPr>
      <w:b/>
      <w:bCs/>
    </w:rPr>
  </w:style>
  <w:style w:type="character" w:customStyle="1" w:styleId="AklamaKonusuChar">
    <w:name w:val="Açıklama Konusu Char"/>
    <w:basedOn w:val="AklamaMetniChar"/>
    <w:link w:val="AklamaKonusu"/>
    <w:uiPriority w:val="99"/>
    <w:semiHidden/>
    <w:rsid w:val="00D92E02"/>
    <w:rPr>
      <w:rFonts w:eastAsiaTheme="minorEastAsia"/>
      <w:b/>
      <w:bCs/>
      <w:sz w:val="20"/>
      <w:szCs w:val="20"/>
      <w:lang w:eastAsia="tr-TR"/>
    </w:rPr>
  </w:style>
  <w:style w:type="paragraph" w:styleId="stbilgi">
    <w:name w:val="header"/>
    <w:basedOn w:val="Normal"/>
    <w:link w:val="stbilgiChar"/>
    <w:uiPriority w:val="99"/>
    <w:semiHidden/>
    <w:unhideWhenUsed/>
    <w:rsid w:val="0092396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3960"/>
    <w:rPr>
      <w:rFonts w:eastAsiaTheme="minorEastAsia"/>
      <w:lang w:eastAsia="tr-TR"/>
    </w:rPr>
  </w:style>
  <w:style w:type="paragraph" w:styleId="Altbilgi">
    <w:name w:val="footer"/>
    <w:basedOn w:val="Normal"/>
    <w:link w:val="AltbilgiChar"/>
    <w:uiPriority w:val="99"/>
    <w:unhideWhenUsed/>
    <w:rsid w:val="00923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3960"/>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4932990">
      <w:bodyDiv w:val="1"/>
      <w:marLeft w:val="0"/>
      <w:marRight w:val="0"/>
      <w:marTop w:val="0"/>
      <w:marBottom w:val="0"/>
      <w:divBdr>
        <w:top w:val="none" w:sz="0" w:space="0" w:color="auto"/>
        <w:left w:val="none" w:sz="0" w:space="0" w:color="auto"/>
        <w:bottom w:val="none" w:sz="0" w:space="0" w:color="auto"/>
        <w:right w:val="none" w:sz="0" w:space="0" w:color="auto"/>
      </w:divBdr>
    </w:div>
    <w:div w:id="55785812">
      <w:bodyDiv w:val="1"/>
      <w:marLeft w:val="0"/>
      <w:marRight w:val="0"/>
      <w:marTop w:val="0"/>
      <w:marBottom w:val="0"/>
      <w:divBdr>
        <w:top w:val="none" w:sz="0" w:space="0" w:color="auto"/>
        <w:left w:val="none" w:sz="0" w:space="0" w:color="auto"/>
        <w:bottom w:val="none" w:sz="0" w:space="0" w:color="auto"/>
        <w:right w:val="none" w:sz="0" w:space="0" w:color="auto"/>
      </w:divBdr>
    </w:div>
    <w:div w:id="122817345">
      <w:bodyDiv w:val="1"/>
      <w:marLeft w:val="0"/>
      <w:marRight w:val="0"/>
      <w:marTop w:val="0"/>
      <w:marBottom w:val="0"/>
      <w:divBdr>
        <w:top w:val="none" w:sz="0" w:space="0" w:color="auto"/>
        <w:left w:val="none" w:sz="0" w:space="0" w:color="auto"/>
        <w:bottom w:val="none" w:sz="0" w:space="0" w:color="auto"/>
        <w:right w:val="none" w:sz="0" w:space="0" w:color="auto"/>
      </w:divBdr>
    </w:div>
    <w:div w:id="179399304">
      <w:bodyDiv w:val="1"/>
      <w:marLeft w:val="0"/>
      <w:marRight w:val="0"/>
      <w:marTop w:val="0"/>
      <w:marBottom w:val="0"/>
      <w:divBdr>
        <w:top w:val="none" w:sz="0" w:space="0" w:color="auto"/>
        <w:left w:val="none" w:sz="0" w:space="0" w:color="auto"/>
        <w:bottom w:val="none" w:sz="0" w:space="0" w:color="auto"/>
        <w:right w:val="none" w:sz="0" w:space="0" w:color="auto"/>
      </w:divBdr>
    </w:div>
    <w:div w:id="203636356">
      <w:bodyDiv w:val="1"/>
      <w:marLeft w:val="0"/>
      <w:marRight w:val="0"/>
      <w:marTop w:val="0"/>
      <w:marBottom w:val="0"/>
      <w:divBdr>
        <w:top w:val="none" w:sz="0" w:space="0" w:color="auto"/>
        <w:left w:val="none" w:sz="0" w:space="0" w:color="auto"/>
        <w:bottom w:val="none" w:sz="0" w:space="0" w:color="auto"/>
        <w:right w:val="none" w:sz="0" w:space="0" w:color="auto"/>
      </w:divBdr>
    </w:div>
    <w:div w:id="445394705">
      <w:bodyDiv w:val="1"/>
      <w:marLeft w:val="0"/>
      <w:marRight w:val="0"/>
      <w:marTop w:val="0"/>
      <w:marBottom w:val="0"/>
      <w:divBdr>
        <w:top w:val="none" w:sz="0" w:space="0" w:color="auto"/>
        <w:left w:val="none" w:sz="0" w:space="0" w:color="auto"/>
        <w:bottom w:val="none" w:sz="0" w:space="0" w:color="auto"/>
        <w:right w:val="none" w:sz="0" w:space="0" w:color="auto"/>
      </w:divBdr>
    </w:div>
    <w:div w:id="455097995">
      <w:bodyDiv w:val="1"/>
      <w:marLeft w:val="0"/>
      <w:marRight w:val="0"/>
      <w:marTop w:val="0"/>
      <w:marBottom w:val="0"/>
      <w:divBdr>
        <w:top w:val="none" w:sz="0" w:space="0" w:color="auto"/>
        <w:left w:val="none" w:sz="0" w:space="0" w:color="auto"/>
        <w:bottom w:val="none" w:sz="0" w:space="0" w:color="auto"/>
        <w:right w:val="none" w:sz="0" w:space="0" w:color="auto"/>
      </w:divBdr>
    </w:div>
    <w:div w:id="459805766">
      <w:bodyDiv w:val="1"/>
      <w:marLeft w:val="0"/>
      <w:marRight w:val="0"/>
      <w:marTop w:val="0"/>
      <w:marBottom w:val="0"/>
      <w:divBdr>
        <w:top w:val="none" w:sz="0" w:space="0" w:color="auto"/>
        <w:left w:val="none" w:sz="0" w:space="0" w:color="auto"/>
        <w:bottom w:val="none" w:sz="0" w:space="0" w:color="auto"/>
        <w:right w:val="none" w:sz="0" w:space="0" w:color="auto"/>
      </w:divBdr>
    </w:div>
    <w:div w:id="480847923">
      <w:bodyDiv w:val="1"/>
      <w:marLeft w:val="0"/>
      <w:marRight w:val="0"/>
      <w:marTop w:val="0"/>
      <w:marBottom w:val="0"/>
      <w:divBdr>
        <w:top w:val="none" w:sz="0" w:space="0" w:color="auto"/>
        <w:left w:val="none" w:sz="0" w:space="0" w:color="auto"/>
        <w:bottom w:val="none" w:sz="0" w:space="0" w:color="auto"/>
        <w:right w:val="none" w:sz="0" w:space="0" w:color="auto"/>
      </w:divBdr>
    </w:div>
    <w:div w:id="546062278">
      <w:bodyDiv w:val="1"/>
      <w:marLeft w:val="0"/>
      <w:marRight w:val="0"/>
      <w:marTop w:val="0"/>
      <w:marBottom w:val="0"/>
      <w:divBdr>
        <w:top w:val="none" w:sz="0" w:space="0" w:color="auto"/>
        <w:left w:val="none" w:sz="0" w:space="0" w:color="auto"/>
        <w:bottom w:val="none" w:sz="0" w:space="0" w:color="auto"/>
        <w:right w:val="none" w:sz="0" w:space="0" w:color="auto"/>
      </w:divBdr>
    </w:div>
    <w:div w:id="572548797">
      <w:bodyDiv w:val="1"/>
      <w:marLeft w:val="0"/>
      <w:marRight w:val="0"/>
      <w:marTop w:val="0"/>
      <w:marBottom w:val="0"/>
      <w:divBdr>
        <w:top w:val="none" w:sz="0" w:space="0" w:color="auto"/>
        <w:left w:val="none" w:sz="0" w:space="0" w:color="auto"/>
        <w:bottom w:val="none" w:sz="0" w:space="0" w:color="auto"/>
        <w:right w:val="none" w:sz="0" w:space="0" w:color="auto"/>
      </w:divBdr>
    </w:div>
    <w:div w:id="634526236">
      <w:bodyDiv w:val="1"/>
      <w:marLeft w:val="0"/>
      <w:marRight w:val="0"/>
      <w:marTop w:val="0"/>
      <w:marBottom w:val="0"/>
      <w:divBdr>
        <w:top w:val="none" w:sz="0" w:space="0" w:color="auto"/>
        <w:left w:val="none" w:sz="0" w:space="0" w:color="auto"/>
        <w:bottom w:val="none" w:sz="0" w:space="0" w:color="auto"/>
        <w:right w:val="none" w:sz="0" w:space="0" w:color="auto"/>
      </w:divBdr>
    </w:div>
    <w:div w:id="641277442">
      <w:bodyDiv w:val="1"/>
      <w:marLeft w:val="0"/>
      <w:marRight w:val="0"/>
      <w:marTop w:val="0"/>
      <w:marBottom w:val="0"/>
      <w:divBdr>
        <w:top w:val="none" w:sz="0" w:space="0" w:color="auto"/>
        <w:left w:val="none" w:sz="0" w:space="0" w:color="auto"/>
        <w:bottom w:val="none" w:sz="0" w:space="0" w:color="auto"/>
        <w:right w:val="none" w:sz="0" w:space="0" w:color="auto"/>
      </w:divBdr>
    </w:div>
    <w:div w:id="644119221">
      <w:bodyDiv w:val="1"/>
      <w:marLeft w:val="0"/>
      <w:marRight w:val="0"/>
      <w:marTop w:val="0"/>
      <w:marBottom w:val="0"/>
      <w:divBdr>
        <w:top w:val="none" w:sz="0" w:space="0" w:color="auto"/>
        <w:left w:val="none" w:sz="0" w:space="0" w:color="auto"/>
        <w:bottom w:val="none" w:sz="0" w:space="0" w:color="auto"/>
        <w:right w:val="none" w:sz="0" w:space="0" w:color="auto"/>
      </w:divBdr>
    </w:div>
    <w:div w:id="663823544">
      <w:bodyDiv w:val="1"/>
      <w:marLeft w:val="0"/>
      <w:marRight w:val="0"/>
      <w:marTop w:val="0"/>
      <w:marBottom w:val="0"/>
      <w:divBdr>
        <w:top w:val="none" w:sz="0" w:space="0" w:color="auto"/>
        <w:left w:val="none" w:sz="0" w:space="0" w:color="auto"/>
        <w:bottom w:val="none" w:sz="0" w:space="0" w:color="auto"/>
        <w:right w:val="none" w:sz="0" w:space="0" w:color="auto"/>
      </w:divBdr>
    </w:div>
    <w:div w:id="743071972">
      <w:bodyDiv w:val="1"/>
      <w:marLeft w:val="0"/>
      <w:marRight w:val="0"/>
      <w:marTop w:val="0"/>
      <w:marBottom w:val="0"/>
      <w:divBdr>
        <w:top w:val="none" w:sz="0" w:space="0" w:color="auto"/>
        <w:left w:val="none" w:sz="0" w:space="0" w:color="auto"/>
        <w:bottom w:val="none" w:sz="0" w:space="0" w:color="auto"/>
        <w:right w:val="none" w:sz="0" w:space="0" w:color="auto"/>
      </w:divBdr>
    </w:div>
    <w:div w:id="758718289">
      <w:bodyDiv w:val="1"/>
      <w:marLeft w:val="0"/>
      <w:marRight w:val="0"/>
      <w:marTop w:val="0"/>
      <w:marBottom w:val="0"/>
      <w:divBdr>
        <w:top w:val="none" w:sz="0" w:space="0" w:color="auto"/>
        <w:left w:val="none" w:sz="0" w:space="0" w:color="auto"/>
        <w:bottom w:val="none" w:sz="0" w:space="0" w:color="auto"/>
        <w:right w:val="none" w:sz="0" w:space="0" w:color="auto"/>
      </w:divBdr>
    </w:div>
    <w:div w:id="809983376">
      <w:bodyDiv w:val="1"/>
      <w:marLeft w:val="0"/>
      <w:marRight w:val="0"/>
      <w:marTop w:val="0"/>
      <w:marBottom w:val="0"/>
      <w:divBdr>
        <w:top w:val="none" w:sz="0" w:space="0" w:color="auto"/>
        <w:left w:val="none" w:sz="0" w:space="0" w:color="auto"/>
        <w:bottom w:val="none" w:sz="0" w:space="0" w:color="auto"/>
        <w:right w:val="none" w:sz="0" w:space="0" w:color="auto"/>
      </w:divBdr>
    </w:div>
    <w:div w:id="833300248">
      <w:bodyDiv w:val="1"/>
      <w:marLeft w:val="0"/>
      <w:marRight w:val="0"/>
      <w:marTop w:val="0"/>
      <w:marBottom w:val="0"/>
      <w:divBdr>
        <w:top w:val="none" w:sz="0" w:space="0" w:color="auto"/>
        <w:left w:val="none" w:sz="0" w:space="0" w:color="auto"/>
        <w:bottom w:val="none" w:sz="0" w:space="0" w:color="auto"/>
        <w:right w:val="none" w:sz="0" w:space="0" w:color="auto"/>
      </w:divBdr>
    </w:div>
    <w:div w:id="838036773">
      <w:bodyDiv w:val="1"/>
      <w:marLeft w:val="0"/>
      <w:marRight w:val="0"/>
      <w:marTop w:val="0"/>
      <w:marBottom w:val="0"/>
      <w:divBdr>
        <w:top w:val="none" w:sz="0" w:space="0" w:color="auto"/>
        <w:left w:val="none" w:sz="0" w:space="0" w:color="auto"/>
        <w:bottom w:val="none" w:sz="0" w:space="0" w:color="auto"/>
        <w:right w:val="none" w:sz="0" w:space="0" w:color="auto"/>
      </w:divBdr>
    </w:div>
    <w:div w:id="990207432">
      <w:bodyDiv w:val="1"/>
      <w:marLeft w:val="0"/>
      <w:marRight w:val="0"/>
      <w:marTop w:val="0"/>
      <w:marBottom w:val="0"/>
      <w:divBdr>
        <w:top w:val="none" w:sz="0" w:space="0" w:color="auto"/>
        <w:left w:val="none" w:sz="0" w:space="0" w:color="auto"/>
        <w:bottom w:val="none" w:sz="0" w:space="0" w:color="auto"/>
        <w:right w:val="none" w:sz="0" w:space="0" w:color="auto"/>
      </w:divBdr>
    </w:div>
    <w:div w:id="991369191">
      <w:bodyDiv w:val="1"/>
      <w:marLeft w:val="0"/>
      <w:marRight w:val="0"/>
      <w:marTop w:val="0"/>
      <w:marBottom w:val="0"/>
      <w:divBdr>
        <w:top w:val="none" w:sz="0" w:space="0" w:color="auto"/>
        <w:left w:val="none" w:sz="0" w:space="0" w:color="auto"/>
        <w:bottom w:val="none" w:sz="0" w:space="0" w:color="auto"/>
        <w:right w:val="none" w:sz="0" w:space="0" w:color="auto"/>
      </w:divBdr>
    </w:div>
    <w:div w:id="1001548343">
      <w:bodyDiv w:val="1"/>
      <w:marLeft w:val="0"/>
      <w:marRight w:val="0"/>
      <w:marTop w:val="0"/>
      <w:marBottom w:val="0"/>
      <w:divBdr>
        <w:top w:val="none" w:sz="0" w:space="0" w:color="auto"/>
        <w:left w:val="none" w:sz="0" w:space="0" w:color="auto"/>
        <w:bottom w:val="none" w:sz="0" w:space="0" w:color="auto"/>
        <w:right w:val="none" w:sz="0" w:space="0" w:color="auto"/>
      </w:divBdr>
    </w:div>
    <w:div w:id="1024668125">
      <w:bodyDiv w:val="1"/>
      <w:marLeft w:val="0"/>
      <w:marRight w:val="0"/>
      <w:marTop w:val="0"/>
      <w:marBottom w:val="0"/>
      <w:divBdr>
        <w:top w:val="none" w:sz="0" w:space="0" w:color="auto"/>
        <w:left w:val="none" w:sz="0" w:space="0" w:color="auto"/>
        <w:bottom w:val="none" w:sz="0" w:space="0" w:color="auto"/>
        <w:right w:val="none" w:sz="0" w:space="0" w:color="auto"/>
      </w:divBdr>
    </w:div>
    <w:div w:id="1042559949">
      <w:bodyDiv w:val="1"/>
      <w:marLeft w:val="0"/>
      <w:marRight w:val="0"/>
      <w:marTop w:val="0"/>
      <w:marBottom w:val="0"/>
      <w:divBdr>
        <w:top w:val="none" w:sz="0" w:space="0" w:color="auto"/>
        <w:left w:val="none" w:sz="0" w:space="0" w:color="auto"/>
        <w:bottom w:val="none" w:sz="0" w:space="0" w:color="auto"/>
        <w:right w:val="none" w:sz="0" w:space="0" w:color="auto"/>
      </w:divBdr>
    </w:div>
    <w:div w:id="1124351263">
      <w:bodyDiv w:val="1"/>
      <w:marLeft w:val="0"/>
      <w:marRight w:val="0"/>
      <w:marTop w:val="0"/>
      <w:marBottom w:val="0"/>
      <w:divBdr>
        <w:top w:val="none" w:sz="0" w:space="0" w:color="auto"/>
        <w:left w:val="none" w:sz="0" w:space="0" w:color="auto"/>
        <w:bottom w:val="none" w:sz="0" w:space="0" w:color="auto"/>
        <w:right w:val="none" w:sz="0" w:space="0" w:color="auto"/>
      </w:divBdr>
    </w:div>
    <w:div w:id="1218011913">
      <w:bodyDiv w:val="1"/>
      <w:marLeft w:val="0"/>
      <w:marRight w:val="0"/>
      <w:marTop w:val="0"/>
      <w:marBottom w:val="0"/>
      <w:divBdr>
        <w:top w:val="none" w:sz="0" w:space="0" w:color="auto"/>
        <w:left w:val="none" w:sz="0" w:space="0" w:color="auto"/>
        <w:bottom w:val="none" w:sz="0" w:space="0" w:color="auto"/>
        <w:right w:val="none" w:sz="0" w:space="0" w:color="auto"/>
      </w:divBdr>
    </w:div>
    <w:div w:id="1234269109">
      <w:bodyDiv w:val="1"/>
      <w:marLeft w:val="0"/>
      <w:marRight w:val="0"/>
      <w:marTop w:val="0"/>
      <w:marBottom w:val="0"/>
      <w:divBdr>
        <w:top w:val="none" w:sz="0" w:space="0" w:color="auto"/>
        <w:left w:val="none" w:sz="0" w:space="0" w:color="auto"/>
        <w:bottom w:val="none" w:sz="0" w:space="0" w:color="auto"/>
        <w:right w:val="none" w:sz="0" w:space="0" w:color="auto"/>
      </w:divBdr>
    </w:div>
    <w:div w:id="1290742488">
      <w:bodyDiv w:val="1"/>
      <w:marLeft w:val="0"/>
      <w:marRight w:val="0"/>
      <w:marTop w:val="0"/>
      <w:marBottom w:val="0"/>
      <w:divBdr>
        <w:top w:val="none" w:sz="0" w:space="0" w:color="auto"/>
        <w:left w:val="none" w:sz="0" w:space="0" w:color="auto"/>
        <w:bottom w:val="none" w:sz="0" w:space="0" w:color="auto"/>
        <w:right w:val="none" w:sz="0" w:space="0" w:color="auto"/>
      </w:divBdr>
    </w:div>
    <w:div w:id="1347442338">
      <w:bodyDiv w:val="1"/>
      <w:marLeft w:val="0"/>
      <w:marRight w:val="0"/>
      <w:marTop w:val="0"/>
      <w:marBottom w:val="0"/>
      <w:divBdr>
        <w:top w:val="none" w:sz="0" w:space="0" w:color="auto"/>
        <w:left w:val="none" w:sz="0" w:space="0" w:color="auto"/>
        <w:bottom w:val="none" w:sz="0" w:space="0" w:color="auto"/>
        <w:right w:val="none" w:sz="0" w:space="0" w:color="auto"/>
      </w:divBdr>
    </w:div>
    <w:div w:id="1403218395">
      <w:bodyDiv w:val="1"/>
      <w:marLeft w:val="0"/>
      <w:marRight w:val="0"/>
      <w:marTop w:val="0"/>
      <w:marBottom w:val="0"/>
      <w:divBdr>
        <w:top w:val="none" w:sz="0" w:space="0" w:color="auto"/>
        <w:left w:val="none" w:sz="0" w:space="0" w:color="auto"/>
        <w:bottom w:val="none" w:sz="0" w:space="0" w:color="auto"/>
        <w:right w:val="none" w:sz="0" w:space="0" w:color="auto"/>
      </w:divBdr>
    </w:div>
    <w:div w:id="1430151284">
      <w:bodyDiv w:val="1"/>
      <w:marLeft w:val="0"/>
      <w:marRight w:val="0"/>
      <w:marTop w:val="0"/>
      <w:marBottom w:val="0"/>
      <w:divBdr>
        <w:top w:val="none" w:sz="0" w:space="0" w:color="auto"/>
        <w:left w:val="none" w:sz="0" w:space="0" w:color="auto"/>
        <w:bottom w:val="none" w:sz="0" w:space="0" w:color="auto"/>
        <w:right w:val="none" w:sz="0" w:space="0" w:color="auto"/>
      </w:divBdr>
    </w:div>
    <w:div w:id="1533569869">
      <w:bodyDiv w:val="1"/>
      <w:marLeft w:val="0"/>
      <w:marRight w:val="0"/>
      <w:marTop w:val="0"/>
      <w:marBottom w:val="0"/>
      <w:divBdr>
        <w:top w:val="none" w:sz="0" w:space="0" w:color="auto"/>
        <w:left w:val="none" w:sz="0" w:space="0" w:color="auto"/>
        <w:bottom w:val="none" w:sz="0" w:space="0" w:color="auto"/>
        <w:right w:val="none" w:sz="0" w:space="0" w:color="auto"/>
      </w:divBdr>
    </w:div>
    <w:div w:id="1598752095">
      <w:bodyDiv w:val="1"/>
      <w:marLeft w:val="0"/>
      <w:marRight w:val="0"/>
      <w:marTop w:val="0"/>
      <w:marBottom w:val="0"/>
      <w:divBdr>
        <w:top w:val="none" w:sz="0" w:space="0" w:color="auto"/>
        <w:left w:val="none" w:sz="0" w:space="0" w:color="auto"/>
        <w:bottom w:val="none" w:sz="0" w:space="0" w:color="auto"/>
        <w:right w:val="none" w:sz="0" w:space="0" w:color="auto"/>
      </w:divBdr>
    </w:div>
    <w:div w:id="1623029992">
      <w:bodyDiv w:val="1"/>
      <w:marLeft w:val="0"/>
      <w:marRight w:val="0"/>
      <w:marTop w:val="0"/>
      <w:marBottom w:val="0"/>
      <w:divBdr>
        <w:top w:val="none" w:sz="0" w:space="0" w:color="auto"/>
        <w:left w:val="none" w:sz="0" w:space="0" w:color="auto"/>
        <w:bottom w:val="none" w:sz="0" w:space="0" w:color="auto"/>
        <w:right w:val="none" w:sz="0" w:space="0" w:color="auto"/>
      </w:divBdr>
    </w:div>
    <w:div w:id="1655570472">
      <w:bodyDiv w:val="1"/>
      <w:marLeft w:val="0"/>
      <w:marRight w:val="0"/>
      <w:marTop w:val="0"/>
      <w:marBottom w:val="0"/>
      <w:divBdr>
        <w:top w:val="none" w:sz="0" w:space="0" w:color="auto"/>
        <w:left w:val="none" w:sz="0" w:space="0" w:color="auto"/>
        <w:bottom w:val="none" w:sz="0" w:space="0" w:color="auto"/>
        <w:right w:val="none" w:sz="0" w:space="0" w:color="auto"/>
      </w:divBdr>
    </w:div>
    <w:div w:id="1671905946">
      <w:bodyDiv w:val="1"/>
      <w:marLeft w:val="0"/>
      <w:marRight w:val="0"/>
      <w:marTop w:val="0"/>
      <w:marBottom w:val="0"/>
      <w:divBdr>
        <w:top w:val="none" w:sz="0" w:space="0" w:color="auto"/>
        <w:left w:val="none" w:sz="0" w:space="0" w:color="auto"/>
        <w:bottom w:val="none" w:sz="0" w:space="0" w:color="auto"/>
        <w:right w:val="none" w:sz="0" w:space="0" w:color="auto"/>
      </w:divBdr>
    </w:div>
    <w:div w:id="1855194174">
      <w:bodyDiv w:val="1"/>
      <w:marLeft w:val="0"/>
      <w:marRight w:val="0"/>
      <w:marTop w:val="0"/>
      <w:marBottom w:val="0"/>
      <w:divBdr>
        <w:top w:val="none" w:sz="0" w:space="0" w:color="auto"/>
        <w:left w:val="none" w:sz="0" w:space="0" w:color="auto"/>
        <w:bottom w:val="none" w:sz="0" w:space="0" w:color="auto"/>
        <w:right w:val="none" w:sz="0" w:space="0" w:color="auto"/>
      </w:divBdr>
      <w:divsChild>
        <w:div w:id="297997326">
          <w:marLeft w:val="0"/>
          <w:marRight w:val="0"/>
          <w:marTop w:val="0"/>
          <w:marBottom w:val="0"/>
          <w:divBdr>
            <w:top w:val="none" w:sz="0" w:space="0" w:color="auto"/>
            <w:left w:val="none" w:sz="0" w:space="0" w:color="auto"/>
            <w:bottom w:val="none" w:sz="0" w:space="0" w:color="auto"/>
            <w:right w:val="none" w:sz="0" w:space="0" w:color="auto"/>
          </w:divBdr>
        </w:div>
        <w:div w:id="838884696">
          <w:marLeft w:val="0"/>
          <w:marRight w:val="0"/>
          <w:marTop w:val="0"/>
          <w:marBottom w:val="0"/>
          <w:divBdr>
            <w:top w:val="none" w:sz="0" w:space="0" w:color="auto"/>
            <w:left w:val="none" w:sz="0" w:space="0" w:color="auto"/>
            <w:bottom w:val="none" w:sz="0" w:space="0" w:color="auto"/>
            <w:right w:val="none" w:sz="0" w:space="0" w:color="auto"/>
          </w:divBdr>
        </w:div>
      </w:divsChild>
    </w:div>
    <w:div w:id="1888447594">
      <w:bodyDiv w:val="1"/>
      <w:marLeft w:val="0"/>
      <w:marRight w:val="0"/>
      <w:marTop w:val="0"/>
      <w:marBottom w:val="0"/>
      <w:divBdr>
        <w:top w:val="none" w:sz="0" w:space="0" w:color="auto"/>
        <w:left w:val="none" w:sz="0" w:space="0" w:color="auto"/>
        <w:bottom w:val="none" w:sz="0" w:space="0" w:color="auto"/>
        <w:right w:val="none" w:sz="0" w:space="0" w:color="auto"/>
      </w:divBdr>
    </w:div>
    <w:div w:id="1903712909">
      <w:bodyDiv w:val="1"/>
      <w:marLeft w:val="0"/>
      <w:marRight w:val="0"/>
      <w:marTop w:val="0"/>
      <w:marBottom w:val="0"/>
      <w:divBdr>
        <w:top w:val="none" w:sz="0" w:space="0" w:color="auto"/>
        <w:left w:val="none" w:sz="0" w:space="0" w:color="auto"/>
        <w:bottom w:val="none" w:sz="0" w:space="0" w:color="auto"/>
        <w:right w:val="none" w:sz="0" w:space="0" w:color="auto"/>
      </w:divBdr>
    </w:div>
    <w:div w:id="1907104256">
      <w:bodyDiv w:val="1"/>
      <w:marLeft w:val="0"/>
      <w:marRight w:val="0"/>
      <w:marTop w:val="0"/>
      <w:marBottom w:val="0"/>
      <w:divBdr>
        <w:top w:val="none" w:sz="0" w:space="0" w:color="auto"/>
        <w:left w:val="none" w:sz="0" w:space="0" w:color="auto"/>
        <w:bottom w:val="none" w:sz="0" w:space="0" w:color="auto"/>
        <w:right w:val="none" w:sz="0" w:space="0" w:color="auto"/>
      </w:divBdr>
    </w:div>
    <w:div w:id="1935744802">
      <w:bodyDiv w:val="1"/>
      <w:marLeft w:val="0"/>
      <w:marRight w:val="0"/>
      <w:marTop w:val="0"/>
      <w:marBottom w:val="0"/>
      <w:divBdr>
        <w:top w:val="none" w:sz="0" w:space="0" w:color="auto"/>
        <w:left w:val="none" w:sz="0" w:space="0" w:color="auto"/>
        <w:bottom w:val="none" w:sz="0" w:space="0" w:color="auto"/>
        <w:right w:val="none" w:sz="0" w:space="0" w:color="auto"/>
      </w:divBdr>
    </w:div>
    <w:div w:id="1942712483">
      <w:bodyDiv w:val="1"/>
      <w:marLeft w:val="0"/>
      <w:marRight w:val="0"/>
      <w:marTop w:val="0"/>
      <w:marBottom w:val="0"/>
      <w:divBdr>
        <w:top w:val="none" w:sz="0" w:space="0" w:color="auto"/>
        <w:left w:val="none" w:sz="0" w:space="0" w:color="auto"/>
        <w:bottom w:val="none" w:sz="0" w:space="0" w:color="auto"/>
        <w:right w:val="none" w:sz="0" w:space="0" w:color="auto"/>
      </w:divBdr>
    </w:div>
    <w:div w:id="1974632257">
      <w:bodyDiv w:val="1"/>
      <w:marLeft w:val="0"/>
      <w:marRight w:val="0"/>
      <w:marTop w:val="0"/>
      <w:marBottom w:val="0"/>
      <w:divBdr>
        <w:top w:val="none" w:sz="0" w:space="0" w:color="auto"/>
        <w:left w:val="none" w:sz="0" w:space="0" w:color="auto"/>
        <w:bottom w:val="none" w:sz="0" w:space="0" w:color="auto"/>
        <w:right w:val="none" w:sz="0" w:space="0" w:color="auto"/>
      </w:divBdr>
    </w:div>
    <w:div w:id="1981375196">
      <w:bodyDiv w:val="1"/>
      <w:marLeft w:val="0"/>
      <w:marRight w:val="0"/>
      <w:marTop w:val="0"/>
      <w:marBottom w:val="0"/>
      <w:divBdr>
        <w:top w:val="none" w:sz="0" w:space="0" w:color="auto"/>
        <w:left w:val="none" w:sz="0" w:space="0" w:color="auto"/>
        <w:bottom w:val="none" w:sz="0" w:space="0" w:color="auto"/>
        <w:right w:val="none" w:sz="0" w:space="0" w:color="auto"/>
      </w:divBdr>
    </w:div>
    <w:div w:id="2002465716">
      <w:bodyDiv w:val="1"/>
      <w:marLeft w:val="0"/>
      <w:marRight w:val="0"/>
      <w:marTop w:val="0"/>
      <w:marBottom w:val="0"/>
      <w:divBdr>
        <w:top w:val="none" w:sz="0" w:space="0" w:color="auto"/>
        <w:left w:val="none" w:sz="0" w:space="0" w:color="auto"/>
        <w:bottom w:val="none" w:sz="0" w:space="0" w:color="auto"/>
        <w:right w:val="none" w:sz="0" w:space="0" w:color="auto"/>
      </w:divBdr>
    </w:div>
    <w:div w:id="20678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374FA-BB7B-4A87-8270-425553E8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28</Pages>
  <Words>13150</Words>
  <Characters>74957</Characters>
  <Application>Microsoft Office Word</Application>
  <DocSecurity>0</DocSecurity>
  <Lines>624</Lines>
  <Paragraphs>175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39</cp:revision>
  <cp:lastPrinted>2019-10-14T08:39:00Z</cp:lastPrinted>
  <dcterms:created xsi:type="dcterms:W3CDTF">2019-10-07T11:32:00Z</dcterms:created>
  <dcterms:modified xsi:type="dcterms:W3CDTF">2019-10-16T14:57:00Z</dcterms:modified>
</cp:coreProperties>
</file>