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0E" w:rsidRDefault="00530F0E" w:rsidP="00530F0E">
      <w:pPr>
        <w:spacing w:line="240" w:lineRule="atLeast"/>
        <w:jc w:val="center"/>
        <w:rPr>
          <w:color w:val="000000"/>
          <w:sz w:val="20"/>
          <w:szCs w:val="20"/>
        </w:rPr>
      </w:pPr>
      <w:r>
        <w:rPr>
          <w:color w:val="000000"/>
          <w:sz w:val="18"/>
          <w:szCs w:val="18"/>
        </w:rPr>
        <w:t>TAŞINMAZ SATILACAKTIR</w:t>
      </w:r>
    </w:p>
    <w:p w:rsidR="00530F0E" w:rsidRPr="00D465EE" w:rsidRDefault="00530F0E" w:rsidP="00D465EE">
      <w:pPr>
        <w:spacing w:line="240" w:lineRule="atLeast"/>
        <w:ind w:firstLine="567"/>
        <w:jc w:val="both"/>
        <w:rPr>
          <w:b/>
          <w:bCs/>
          <w:color w:val="0000CC"/>
          <w:sz w:val="18"/>
          <w:szCs w:val="18"/>
        </w:rPr>
      </w:pPr>
      <w:r>
        <w:rPr>
          <w:b/>
          <w:bCs/>
          <w:color w:val="0000CC"/>
          <w:sz w:val="18"/>
          <w:szCs w:val="18"/>
        </w:rPr>
        <w:t>Denizli Defterdarlığı Milli Emlak Müdürlüğünden:</w:t>
      </w:r>
    </w:p>
    <w:p w:rsidR="00530F0E" w:rsidRDefault="00530F0E" w:rsidP="00530F0E">
      <w:pPr>
        <w:spacing w:line="240" w:lineRule="atLeast"/>
        <w:ind w:firstLine="567"/>
        <w:jc w:val="both"/>
        <w:rPr>
          <w:color w:val="000000"/>
          <w:sz w:val="20"/>
          <w:szCs w:val="20"/>
        </w:rPr>
      </w:pPr>
      <w:r>
        <w:rPr>
          <w:color w:val="000000"/>
          <w:sz w:val="18"/>
          <w:szCs w:val="18"/>
        </w:rPr>
        <w:t>1 - Aşağıdaki tabloda yer alan taşınmazın satış ihalesi 21.06.2017 tarihinde 2886 sayılı Devlet İhale Kanununun 45’inci maddesine göre Açık Teklif Usulü ile tabloda belirtilen saatte yapılacaktır.</w:t>
      </w:r>
    </w:p>
    <w:p w:rsidR="00530F0E" w:rsidRDefault="00530F0E" w:rsidP="00530F0E">
      <w:pPr>
        <w:spacing w:line="240" w:lineRule="atLeast"/>
        <w:ind w:firstLine="567"/>
        <w:jc w:val="both"/>
        <w:rPr>
          <w:color w:val="000000"/>
          <w:sz w:val="20"/>
          <w:szCs w:val="20"/>
        </w:rPr>
      </w:pPr>
      <w:r>
        <w:rPr>
          <w:color w:val="000000"/>
          <w:sz w:val="18"/>
          <w:szCs w:val="18"/>
        </w:rPr>
        <w:t>2 - İhale, Denizli Defterdarlığı Milli Emlak Müdürlüğü makam odasında toplanacak Komisyon huzurunda yapılacaktır. Komisyon ihaleyi yapıp yapmamakta serbesttir.</w:t>
      </w:r>
    </w:p>
    <w:p w:rsidR="00530F0E" w:rsidRDefault="00530F0E" w:rsidP="00530F0E">
      <w:pPr>
        <w:spacing w:line="240" w:lineRule="atLeast"/>
        <w:ind w:firstLine="567"/>
        <w:jc w:val="both"/>
        <w:rPr>
          <w:color w:val="000000"/>
          <w:sz w:val="20"/>
          <w:szCs w:val="20"/>
        </w:rPr>
      </w:pPr>
      <w:proofErr w:type="gramStart"/>
      <w:r>
        <w:rPr>
          <w:color w:val="000000"/>
          <w:sz w:val="18"/>
          <w:szCs w:val="18"/>
        </w:rPr>
        <w:t>3 - İhaleye katılabilmek için isteklilerin; nüfus kayıt örneğini veya aslını ibraz etmek suretiyle nüfus cüzdanı örneğini, 2017 yılında alınmış İkametgâh Belgesini, geçici teminatı yatırdıklarına dair makbuzları veya Bankalarca ve Özel Finans Kurumlarınca verilen (süresiz) geçici teminat mektubunu, Tüzel Kişiler ise ayrıca, siciline kayıtlı olduğu (Ticaret Odası, Esnaf Odası vb.) yerden alacakları yılı içinde onaylı oda sicil kaydı ve tüzel kişilik adına ihaleye katılacak kişiye verilmiş noter onaylı yetki belgesi ve imza sirkülerini, ihale saatine kadar komisyona vermeleri gerekmektedir.</w:t>
      </w:r>
      <w:proofErr w:type="gramEnd"/>
    </w:p>
    <w:p w:rsidR="00530F0E" w:rsidRDefault="00530F0E" w:rsidP="00530F0E">
      <w:pPr>
        <w:spacing w:line="240" w:lineRule="atLeast"/>
        <w:ind w:firstLine="567"/>
        <w:jc w:val="both"/>
        <w:rPr>
          <w:color w:val="000000"/>
          <w:sz w:val="20"/>
          <w:szCs w:val="20"/>
        </w:rPr>
      </w:pPr>
      <w:r>
        <w:rPr>
          <w:color w:val="000000"/>
          <w:sz w:val="18"/>
          <w:szCs w:val="18"/>
        </w:rPr>
        <w:t>4 - İstekliler 2886 sayılı Kanunun 37’nci maddesine uygun olarak düzenleyecekleri tekliflerini ihalenin başlama saatine kadar İhale Komisyonu Başkanlığına ulaşmış olmak kaydıyla iadeli taahhütlü bir mektupla da gönderebilirler. Postada meydana gelecek gecikmeler halinde teklif işleme alınmaz.</w:t>
      </w:r>
    </w:p>
    <w:p w:rsidR="00530F0E" w:rsidRDefault="00530F0E" w:rsidP="00530F0E">
      <w:pPr>
        <w:spacing w:line="240" w:lineRule="atLeast"/>
        <w:ind w:firstLine="567"/>
        <w:jc w:val="both"/>
        <w:rPr>
          <w:color w:val="000000"/>
          <w:sz w:val="20"/>
          <w:szCs w:val="20"/>
        </w:rPr>
      </w:pPr>
      <w:r>
        <w:rPr>
          <w:color w:val="000000"/>
          <w:sz w:val="18"/>
          <w:szCs w:val="18"/>
        </w:rPr>
        <w:t>5 - Hazinece satışı yapılan taşınmazlar, satış tarihini takip eden yıldan itibaren 5 yıl süreyle Emlak Vergisinden muaftır. Ayrıca, satış ve devir işlemleri ile bu işlemler sırasında düzenlenen belgeler vergi, resim ve harçtan müstesna tutulmuştur. Talep edilmesi halinde satış bedelinin taksitle ödenmesi mümkündür.</w:t>
      </w:r>
    </w:p>
    <w:p w:rsidR="00530F0E" w:rsidRDefault="00530F0E" w:rsidP="00530F0E">
      <w:pPr>
        <w:spacing w:line="240" w:lineRule="atLeast"/>
        <w:ind w:firstLine="567"/>
        <w:jc w:val="both"/>
        <w:rPr>
          <w:color w:val="000000"/>
          <w:sz w:val="20"/>
          <w:szCs w:val="20"/>
        </w:rPr>
      </w:pPr>
      <w:r>
        <w:rPr>
          <w:color w:val="000000"/>
          <w:sz w:val="18"/>
          <w:szCs w:val="18"/>
        </w:rPr>
        <w:t>6 - Taşınmaz satış ihalesi Katma Değer Vergisinden muaftır.</w:t>
      </w:r>
    </w:p>
    <w:p w:rsidR="00530F0E" w:rsidRDefault="00530F0E" w:rsidP="00530F0E">
      <w:pPr>
        <w:spacing w:line="240" w:lineRule="atLeast"/>
        <w:ind w:firstLine="567"/>
        <w:jc w:val="both"/>
        <w:rPr>
          <w:color w:val="000000"/>
          <w:sz w:val="20"/>
          <w:szCs w:val="20"/>
        </w:rPr>
      </w:pPr>
      <w:r>
        <w:rPr>
          <w:color w:val="000000"/>
          <w:sz w:val="18"/>
          <w:szCs w:val="18"/>
        </w:rPr>
        <w:t>7 - Şartname ve ekleri mesai saatleri içinde Milli Emlak Müdürlüğünde bedelsiz görülebilir.</w:t>
      </w:r>
    </w:p>
    <w:p w:rsidR="00530F0E" w:rsidRDefault="00530F0E" w:rsidP="00530F0E">
      <w:pPr>
        <w:spacing w:line="240" w:lineRule="atLeast"/>
        <w:ind w:firstLine="567"/>
        <w:jc w:val="both"/>
        <w:rPr>
          <w:color w:val="000000"/>
          <w:sz w:val="20"/>
          <w:szCs w:val="20"/>
        </w:rPr>
      </w:pPr>
      <w:r>
        <w:rPr>
          <w:color w:val="000000"/>
          <w:sz w:val="18"/>
          <w:szCs w:val="18"/>
        </w:rPr>
        <w:t>8 - Türkiye genelindeki ihale bilgileri http://www.milliemlak.gov.tr adresinden, Denizli İlindeki ihale bilgileri http://www.denizlidefterdarligi.gov.tr adresinden öğrenilebilir.</w:t>
      </w:r>
    </w:p>
    <w:p w:rsidR="00530F0E" w:rsidRDefault="00530F0E" w:rsidP="00530F0E">
      <w:pPr>
        <w:spacing w:line="240" w:lineRule="atLeast"/>
        <w:ind w:firstLine="567"/>
        <w:jc w:val="both"/>
        <w:rPr>
          <w:color w:val="000000"/>
          <w:sz w:val="20"/>
          <w:szCs w:val="20"/>
        </w:rPr>
      </w:pPr>
      <w:r>
        <w:rPr>
          <w:color w:val="000000"/>
          <w:sz w:val="18"/>
          <w:szCs w:val="18"/>
        </w:rPr>
        <w:t>SATIŞI YAPILACAK TAŞINMAZA İLİŞKİN TABLO</w:t>
      </w:r>
    </w:p>
    <w:tbl>
      <w:tblPr>
        <w:tblpPr w:leftFromText="141" w:rightFromText="141" w:vertAnchor="text" w:horzAnchor="margin" w:tblpXSpec="center" w:tblpY="109"/>
        <w:tblW w:w="11307" w:type="dxa"/>
        <w:tblLayout w:type="fixed"/>
        <w:tblCellMar>
          <w:left w:w="0" w:type="dxa"/>
          <w:right w:w="0" w:type="dxa"/>
        </w:tblCellMar>
        <w:tblLook w:val="04A0"/>
      </w:tblPr>
      <w:tblGrid>
        <w:gridCol w:w="518"/>
        <w:gridCol w:w="991"/>
        <w:gridCol w:w="706"/>
        <w:gridCol w:w="570"/>
        <w:gridCol w:w="1036"/>
        <w:gridCol w:w="507"/>
        <w:gridCol w:w="718"/>
        <w:gridCol w:w="1117"/>
        <w:gridCol w:w="726"/>
        <w:gridCol w:w="913"/>
        <w:gridCol w:w="767"/>
        <w:gridCol w:w="1111"/>
        <w:gridCol w:w="979"/>
        <w:gridCol w:w="648"/>
      </w:tblGrid>
      <w:tr w:rsidR="00D465EE" w:rsidTr="00D465EE">
        <w:trPr>
          <w:trHeight w:val="6"/>
        </w:trPr>
        <w:tc>
          <w:tcPr>
            <w:tcW w:w="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SIRA NO</w:t>
            </w:r>
          </w:p>
        </w:tc>
        <w:tc>
          <w:tcPr>
            <w:tcW w:w="9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465EE" w:rsidRDefault="00D465EE" w:rsidP="00D465EE">
            <w:pPr>
              <w:pStyle w:val="Balk3"/>
              <w:spacing w:line="20" w:lineRule="atLeast"/>
              <w:jc w:val="center"/>
              <w:rPr>
                <w:rFonts w:ascii="Cambria" w:hAnsi="Cambria"/>
                <w:color w:val="4F81BD"/>
                <w:sz w:val="20"/>
                <w:szCs w:val="20"/>
              </w:rPr>
            </w:pPr>
            <w:r>
              <w:rPr>
                <w:b w:val="0"/>
                <w:bCs w:val="0"/>
                <w:color w:val="000000"/>
                <w:sz w:val="18"/>
                <w:szCs w:val="18"/>
              </w:rPr>
              <w:t>MAHALLESİ</w:t>
            </w:r>
          </w:p>
        </w:tc>
        <w:tc>
          <w:tcPr>
            <w:tcW w:w="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MEVKİİ</w:t>
            </w:r>
          </w:p>
        </w:tc>
        <w:tc>
          <w:tcPr>
            <w:tcW w:w="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CİNSİ</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PAFTA NO</w:t>
            </w:r>
          </w:p>
        </w:tc>
        <w:tc>
          <w:tcPr>
            <w:tcW w:w="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ADA NO</w:t>
            </w:r>
          </w:p>
        </w:tc>
        <w:tc>
          <w:tcPr>
            <w:tcW w:w="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PARSEL NO</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YÜZÖLÇÜMÜ (m²)</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HAZİNE PAYI</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İMAR DURUMU</w:t>
            </w:r>
          </w:p>
        </w:tc>
        <w:tc>
          <w:tcPr>
            <w:tcW w:w="7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FİİLİ DURMU</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TAHMİNİ BEDELİ (TL)</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pStyle w:val="Balk1"/>
              <w:spacing w:before="0" w:line="20" w:lineRule="atLeast"/>
              <w:jc w:val="center"/>
              <w:rPr>
                <w:rFonts w:ascii="Cambria" w:hAnsi="Cambria"/>
                <w:color w:val="365F91"/>
              </w:rPr>
            </w:pPr>
            <w:r>
              <w:rPr>
                <w:b w:val="0"/>
                <w:bCs w:val="0"/>
                <w:color w:val="000000"/>
                <w:sz w:val="18"/>
                <w:szCs w:val="18"/>
              </w:rPr>
              <w:t>GEÇİCİ TEMİNATI (TL)</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465EE" w:rsidRDefault="00D465EE" w:rsidP="00D465EE">
            <w:pPr>
              <w:spacing w:line="20" w:lineRule="atLeast"/>
              <w:jc w:val="center"/>
              <w:rPr>
                <w:sz w:val="20"/>
                <w:szCs w:val="20"/>
              </w:rPr>
            </w:pPr>
            <w:r>
              <w:rPr>
                <w:color w:val="000000"/>
                <w:sz w:val="18"/>
                <w:szCs w:val="18"/>
              </w:rPr>
              <w:t>İHALE SAATİ</w:t>
            </w:r>
          </w:p>
        </w:tc>
      </w:tr>
      <w:tr w:rsidR="00D465EE" w:rsidTr="00D465EE">
        <w:trPr>
          <w:trHeight w:val="699"/>
        </w:trPr>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1</w:t>
            </w:r>
          </w:p>
        </w:tc>
        <w:tc>
          <w:tcPr>
            <w:tcW w:w="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465EE" w:rsidRDefault="00D465EE" w:rsidP="00D465EE">
            <w:pPr>
              <w:pStyle w:val="Balk3"/>
              <w:spacing w:line="20" w:lineRule="atLeast"/>
              <w:jc w:val="center"/>
              <w:rPr>
                <w:rFonts w:ascii="Cambria" w:hAnsi="Cambria"/>
                <w:color w:val="4F81BD"/>
                <w:sz w:val="20"/>
                <w:szCs w:val="20"/>
              </w:rPr>
            </w:pPr>
            <w:proofErr w:type="spellStart"/>
            <w:r>
              <w:rPr>
                <w:b w:val="0"/>
                <w:bCs w:val="0"/>
                <w:color w:val="000000"/>
                <w:sz w:val="18"/>
                <w:szCs w:val="18"/>
              </w:rPr>
              <w:t>Kumkısık</w:t>
            </w:r>
            <w:proofErr w:type="spellEnd"/>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Arsa</w:t>
            </w: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M22a11a3b</w:t>
            </w:r>
          </w:p>
        </w:tc>
        <w:tc>
          <w:tcPr>
            <w:tcW w:w="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185</w:t>
            </w:r>
          </w:p>
        </w:tc>
        <w:tc>
          <w:tcPr>
            <w:tcW w:w="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2</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11.419,00</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Tam</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Tarımsal Sanayi Depolama Alanı</w:t>
            </w:r>
          </w:p>
        </w:tc>
        <w:tc>
          <w:tcPr>
            <w:tcW w:w="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Boştur.</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2.284.000,00</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pStyle w:val="Balk1"/>
              <w:spacing w:before="0" w:line="20" w:lineRule="atLeast"/>
              <w:jc w:val="center"/>
              <w:rPr>
                <w:rFonts w:ascii="Cambria" w:hAnsi="Cambria"/>
                <w:color w:val="365F91"/>
              </w:rPr>
            </w:pPr>
            <w:r>
              <w:rPr>
                <w:b w:val="0"/>
                <w:bCs w:val="0"/>
                <w:color w:val="000000"/>
                <w:sz w:val="18"/>
                <w:szCs w:val="18"/>
              </w:rPr>
              <w:t>228.400,00</w:t>
            </w:r>
          </w:p>
        </w:tc>
        <w:tc>
          <w:tcPr>
            <w:tcW w:w="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65EE" w:rsidRDefault="00D465EE" w:rsidP="00D465EE">
            <w:pPr>
              <w:spacing w:line="20" w:lineRule="atLeast"/>
              <w:jc w:val="center"/>
              <w:rPr>
                <w:sz w:val="20"/>
                <w:szCs w:val="20"/>
              </w:rPr>
            </w:pPr>
            <w:r>
              <w:rPr>
                <w:color w:val="000000"/>
                <w:sz w:val="18"/>
                <w:szCs w:val="18"/>
              </w:rPr>
              <w:t>11:00</w:t>
            </w:r>
          </w:p>
        </w:tc>
      </w:tr>
    </w:tbl>
    <w:p w:rsidR="00435FBA" w:rsidRPr="00D465EE" w:rsidRDefault="00435FBA" w:rsidP="00D465EE">
      <w:pPr>
        <w:spacing w:line="240" w:lineRule="atLeast"/>
        <w:jc w:val="both"/>
        <w:rPr>
          <w:color w:val="000000"/>
          <w:sz w:val="20"/>
          <w:szCs w:val="20"/>
        </w:rPr>
      </w:pPr>
    </w:p>
    <w:sectPr w:rsidR="00435FBA" w:rsidRPr="00D465EE" w:rsidSect="00435F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45623"/>
    <w:rsid w:val="00017F4C"/>
    <w:rsid w:val="000308C1"/>
    <w:rsid w:val="0031215C"/>
    <w:rsid w:val="00430FBB"/>
    <w:rsid w:val="00435FBA"/>
    <w:rsid w:val="00530F0E"/>
    <w:rsid w:val="005D368C"/>
    <w:rsid w:val="008F4D05"/>
    <w:rsid w:val="00996341"/>
    <w:rsid w:val="00B17070"/>
    <w:rsid w:val="00D45623"/>
    <w:rsid w:val="00D465EE"/>
    <w:rsid w:val="00D56F61"/>
    <w:rsid w:val="00E2145F"/>
    <w:rsid w:val="00E5093D"/>
    <w:rsid w:val="00F969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FBA"/>
  </w:style>
  <w:style w:type="paragraph" w:styleId="Balk1">
    <w:name w:val="heading 1"/>
    <w:basedOn w:val="Normal"/>
    <w:next w:val="Normal"/>
    <w:link w:val="Balk1Char"/>
    <w:uiPriority w:val="9"/>
    <w:qFormat/>
    <w:rsid w:val="00530F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link w:val="Balk2Char"/>
    <w:uiPriority w:val="9"/>
    <w:qFormat/>
    <w:rsid w:val="003121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530F0E"/>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45623"/>
  </w:style>
  <w:style w:type="character" w:customStyle="1" w:styleId="Balk2Char">
    <w:name w:val="Başlık 2 Char"/>
    <w:basedOn w:val="VarsaylanParagrafYazTipi"/>
    <w:link w:val="Balk2"/>
    <w:uiPriority w:val="9"/>
    <w:rsid w:val="0031215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121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6341"/>
    <w:rPr>
      <w:b/>
      <w:bCs/>
    </w:rPr>
  </w:style>
  <w:style w:type="paragraph" w:customStyle="1" w:styleId="balk11pt">
    <w:name w:val="balk11pt"/>
    <w:basedOn w:val="Normal"/>
    <w:rsid w:val="00B170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170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170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17070"/>
  </w:style>
  <w:style w:type="character" w:customStyle="1" w:styleId="spelle">
    <w:name w:val="spelle"/>
    <w:basedOn w:val="VarsaylanParagrafYazTipi"/>
    <w:rsid w:val="00B17070"/>
  </w:style>
  <w:style w:type="paragraph" w:customStyle="1" w:styleId="3-normalyaz">
    <w:name w:val="3-normalyaz"/>
    <w:basedOn w:val="Normal"/>
    <w:rsid w:val="00B170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17070"/>
    <w:rPr>
      <w:color w:val="0000FF"/>
      <w:u w:val="single"/>
    </w:rPr>
  </w:style>
  <w:style w:type="paragraph" w:styleId="AralkYok">
    <w:name w:val="No Spacing"/>
    <w:uiPriority w:val="1"/>
    <w:qFormat/>
    <w:rsid w:val="00B17070"/>
    <w:pPr>
      <w:spacing w:after="0" w:line="240" w:lineRule="auto"/>
    </w:pPr>
  </w:style>
  <w:style w:type="character" w:customStyle="1" w:styleId="Balk1Char">
    <w:name w:val="Başlık 1 Char"/>
    <w:basedOn w:val="VarsaylanParagrafYazTipi"/>
    <w:link w:val="Balk1"/>
    <w:uiPriority w:val="9"/>
    <w:rsid w:val="00530F0E"/>
    <w:rPr>
      <w:rFonts w:asciiTheme="majorHAnsi" w:eastAsiaTheme="majorEastAsia" w:hAnsiTheme="majorHAnsi" w:cstheme="majorBidi"/>
      <w:b/>
      <w:bCs/>
      <w:color w:val="2E74B5" w:themeColor="accent1" w:themeShade="BF"/>
      <w:sz w:val="28"/>
      <w:szCs w:val="28"/>
    </w:rPr>
  </w:style>
  <w:style w:type="character" w:customStyle="1" w:styleId="Balk3Char">
    <w:name w:val="Başlık 3 Char"/>
    <w:basedOn w:val="VarsaylanParagrafYazTipi"/>
    <w:link w:val="Balk3"/>
    <w:uiPriority w:val="9"/>
    <w:semiHidden/>
    <w:rsid w:val="00530F0E"/>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79721913">
      <w:bodyDiv w:val="1"/>
      <w:marLeft w:val="0"/>
      <w:marRight w:val="0"/>
      <w:marTop w:val="0"/>
      <w:marBottom w:val="0"/>
      <w:divBdr>
        <w:top w:val="none" w:sz="0" w:space="0" w:color="auto"/>
        <w:left w:val="none" w:sz="0" w:space="0" w:color="auto"/>
        <w:bottom w:val="none" w:sz="0" w:space="0" w:color="auto"/>
        <w:right w:val="none" w:sz="0" w:space="0" w:color="auto"/>
      </w:divBdr>
    </w:div>
    <w:div w:id="213393740">
      <w:bodyDiv w:val="1"/>
      <w:marLeft w:val="0"/>
      <w:marRight w:val="0"/>
      <w:marTop w:val="0"/>
      <w:marBottom w:val="0"/>
      <w:divBdr>
        <w:top w:val="none" w:sz="0" w:space="0" w:color="auto"/>
        <w:left w:val="none" w:sz="0" w:space="0" w:color="auto"/>
        <w:bottom w:val="none" w:sz="0" w:space="0" w:color="auto"/>
        <w:right w:val="none" w:sz="0" w:space="0" w:color="auto"/>
      </w:divBdr>
    </w:div>
    <w:div w:id="397022205">
      <w:bodyDiv w:val="1"/>
      <w:marLeft w:val="0"/>
      <w:marRight w:val="0"/>
      <w:marTop w:val="0"/>
      <w:marBottom w:val="0"/>
      <w:divBdr>
        <w:top w:val="none" w:sz="0" w:space="0" w:color="auto"/>
        <w:left w:val="none" w:sz="0" w:space="0" w:color="auto"/>
        <w:bottom w:val="none" w:sz="0" w:space="0" w:color="auto"/>
        <w:right w:val="none" w:sz="0" w:space="0" w:color="auto"/>
      </w:divBdr>
    </w:div>
    <w:div w:id="528687675">
      <w:bodyDiv w:val="1"/>
      <w:marLeft w:val="0"/>
      <w:marRight w:val="0"/>
      <w:marTop w:val="0"/>
      <w:marBottom w:val="0"/>
      <w:divBdr>
        <w:top w:val="none" w:sz="0" w:space="0" w:color="auto"/>
        <w:left w:val="none" w:sz="0" w:space="0" w:color="auto"/>
        <w:bottom w:val="none" w:sz="0" w:space="0" w:color="auto"/>
        <w:right w:val="none" w:sz="0" w:space="0" w:color="auto"/>
      </w:divBdr>
    </w:div>
    <w:div w:id="1216702196">
      <w:bodyDiv w:val="1"/>
      <w:marLeft w:val="0"/>
      <w:marRight w:val="0"/>
      <w:marTop w:val="0"/>
      <w:marBottom w:val="0"/>
      <w:divBdr>
        <w:top w:val="none" w:sz="0" w:space="0" w:color="auto"/>
        <w:left w:val="none" w:sz="0" w:space="0" w:color="auto"/>
        <w:bottom w:val="none" w:sz="0" w:space="0" w:color="auto"/>
        <w:right w:val="none" w:sz="0" w:space="0" w:color="auto"/>
      </w:divBdr>
    </w:div>
    <w:div w:id="1626697477">
      <w:bodyDiv w:val="1"/>
      <w:marLeft w:val="0"/>
      <w:marRight w:val="0"/>
      <w:marTop w:val="0"/>
      <w:marBottom w:val="0"/>
      <w:divBdr>
        <w:top w:val="none" w:sz="0" w:space="0" w:color="auto"/>
        <w:left w:val="none" w:sz="0" w:space="0" w:color="auto"/>
        <w:bottom w:val="none" w:sz="0" w:space="0" w:color="auto"/>
        <w:right w:val="none" w:sz="0" w:space="0" w:color="auto"/>
      </w:divBdr>
    </w:div>
    <w:div w:id="1834644270">
      <w:bodyDiv w:val="1"/>
      <w:marLeft w:val="0"/>
      <w:marRight w:val="0"/>
      <w:marTop w:val="0"/>
      <w:marBottom w:val="0"/>
      <w:divBdr>
        <w:top w:val="none" w:sz="0" w:space="0" w:color="auto"/>
        <w:left w:val="none" w:sz="0" w:space="0" w:color="auto"/>
        <w:bottom w:val="none" w:sz="0" w:space="0" w:color="auto"/>
        <w:right w:val="none" w:sz="0" w:space="0" w:color="auto"/>
      </w:divBdr>
    </w:div>
    <w:div w:id="1839540181">
      <w:bodyDiv w:val="1"/>
      <w:marLeft w:val="0"/>
      <w:marRight w:val="0"/>
      <w:marTop w:val="0"/>
      <w:marBottom w:val="0"/>
      <w:divBdr>
        <w:top w:val="none" w:sz="0" w:space="0" w:color="auto"/>
        <w:left w:val="none" w:sz="0" w:space="0" w:color="auto"/>
        <w:bottom w:val="none" w:sz="0" w:space="0" w:color="auto"/>
        <w:right w:val="none" w:sz="0" w:space="0" w:color="auto"/>
      </w:divBdr>
    </w:div>
    <w:div w:id="1930849742">
      <w:bodyDiv w:val="1"/>
      <w:marLeft w:val="0"/>
      <w:marRight w:val="0"/>
      <w:marTop w:val="0"/>
      <w:marBottom w:val="0"/>
      <w:divBdr>
        <w:top w:val="none" w:sz="0" w:space="0" w:color="auto"/>
        <w:left w:val="none" w:sz="0" w:space="0" w:color="auto"/>
        <w:bottom w:val="none" w:sz="0" w:space="0" w:color="auto"/>
        <w:right w:val="none" w:sz="0" w:space="0" w:color="auto"/>
      </w:divBdr>
    </w:div>
    <w:div w:id="21262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1947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2017-06-08T09:22:00Z</dcterms:created>
  <dcterms:modified xsi:type="dcterms:W3CDTF">2017-06-08T09:22:00Z</dcterms:modified>
</cp:coreProperties>
</file>