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7DD" w:rsidRPr="004237DD" w:rsidRDefault="004237DD" w:rsidP="004237DD">
      <w:pPr>
        <w:spacing w:after="0" w:line="240" w:lineRule="atLeast"/>
        <w:jc w:val="center"/>
        <w:rPr>
          <w:rFonts w:ascii="Times New Roman" w:eastAsia="Times New Roman" w:hAnsi="Times New Roman" w:cs="Times New Roman"/>
          <w:color w:val="000000"/>
          <w:sz w:val="20"/>
          <w:szCs w:val="20"/>
          <w:lang w:eastAsia="tr-TR"/>
        </w:rPr>
      </w:pPr>
      <w:bookmarkStart w:id="0" w:name="_GoBack"/>
      <w:bookmarkEnd w:id="0"/>
      <w:r w:rsidRPr="004237DD">
        <w:rPr>
          <w:rFonts w:ascii="Times New Roman" w:eastAsia="Times New Roman" w:hAnsi="Times New Roman" w:cs="Times New Roman"/>
          <w:color w:val="000000"/>
          <w:sz w:val="18"/>
          <w:szCs w:val="18"/>
          <w:lang w:eastAsia="tr-TR"/>
        </w:rPr>
        <w:t>TAŞINMAZLAR SATIŞ YÖNTEMİ İLE ÖZELLEŞTİRİLECEKTİR</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b/>
          <w:bCs/>
          <w:color w:val="0000CC"/>
          <w:sz w:val="18"/>
          <w:szCs w:val="18"/>
          <w:lang w:eastAsia="tr-TR"/>
        </w:rPr>
        <w:t>Ankara Doğal Elektrik Üretim ve Ticaret A.Ş. Genel Müdürlüğünden:</w:t>
      </w:r>
    </w:p>
    <w:p w:rsidR="004237DD" w:rsidRPr="004237DD" w:rsidRDefault="004237DD" w:rsidP="004237DD">
      <w:pPr>
        <w:spacing w:after="0" w:line="240" w:lineRule="atLeast"/>
        <w:jc w:val="center"/>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 </w:t>
      </w:r>
    </w:p>
    <w:p w:rsidR="004237DD" w:rsidRPr="004237DD" w:rsidRDefault="004237DD" w:rsidP="004237DD">
      <w:pPr>
        <w:spacing w:after="0" w:line="240" w:lineRule="atLeast"/>
        <w:ind w:left="567"/>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KÜTAHYA İLİ, MERKEZ İLÇESİ, PARMAKÖREN MAHALLESİ</w:t>
      </w:r>
    </w:p>
    <w:tbl>
      <w:tblPr>
        <w:tblW w:w="7010" w:type="dxa"/>
        <w:tblInd w:w="559" w:type="dxa"/>
        <w:tblCellMar>
          <w:left w:w="0" w:type="dxa"/>
          <w:right w:w="0" w:type="dxa"/>
        </w:tblCellMar>
        <w:tblLook w:val="04A0" w:firstRow="1" w:lastRow="0" w:firstColumn="1" w:lastColumn="0" w:noHBand="0" w:noVBand="1"/>
      </w:tblPr>
      <w:tblGrid>
        <w:gridCol w:w="1041"/>
        <w:gridCol w:w="1843"/>
        <w:gridCol w:w="1996"/>
        <w:gridCol w:w="2130"/>
      </w:tblGrid>
      <w:tr w:rsidR="004237DD" w:rsidRPr="004237DD" w:rsidTr="004237DD">
        <w:trPr>
          <w:trHeight w:val="85"/>
          <w:tblHeader/>
        </w:trPr>
        <w:tc>
          <w:tcPr>
            <w:tcW w:w="1041" w:type="dxa"/>
            <w:tcBorders>
              <w:top w:val="single" w:sz="8" w:space="0" w:color="auto"/>
              <w:left w:val="single" w:sz="8" w:space="0" w:color="auto"/>
              <w:bottom w:val="single" w:sz="8" w:space="0" w:color="auto"/>
              <w:right w:val="single" w:sz="8" w:space="0" w:color="auto"/>
            </w:tcBorders>
            <w:noWrap/>
            <w:vAlign w:val="bottom"/>
            <w:hideMark/>
          </w:tcPr>
          <w:p w:rsidR="004237DD" w:rsidRPr="004237DD" w:rsidRDefault="004237DD" w:rsidP="004237DD">
            <w:pPr>
              <w:spacing w:after="0" w:line="85"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Sıra</w:t>
            </w:r>
          </w:p>
        </w:tc>
        <w:tc>
          <w:tcPr>
            <w:tcW w:w="1843" w:type="dxa"/>
            <w:tcBorders>
              <w:top w:val="single" w:sz="8" w:space="0" w:color="auto"/>
              <w:left w:val="nil"/>
              <w:bottom w:val="single" w:sz="8" w:space="0" w:color="auto"/>
              <w:right w:val="single" w:sz="8" w:space="0" w:color="auto"/>
            </w:tcBorders>
            <w:noWrap/>
            <w:vAlign w:val="bottom"/>
            <w:hideMark/>
          </w:tcPr>
          <w:p w:rsidR="004237DD" w:rsidRPr="004237DD" w:rsidRDefault="004237DD" w:rsidP="004237DD">
            <w:pPr>
              <w:spacing w:after="0" w:line="85"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Ada-Parsel</w:t>
            </w:r>
          </w:p>
        </w:tc>
        <w:tc>
          <w:tcPr>
            <w:tcW w:w="1996" w:type="dxa"/>
            <w:tcBorders>
              <w:top w:val="single" w:sz="8" w:space="0" w:color="auto"/>
              <w:left w:val="nil"/>
              <w:bottom w:val="single" w:sz="8" w:space="0" w:color="auto"/>
              <w:right w:val="single" w:sz="8" w:space="0" w:color="auto"/>
            </w:tcBorders>
            <w:noWrap/>
            <w:vAlign w:val="bottom"/>
            <w:hideMark/>
          </w:tcPr>
          <w:p w:rsidR="004237DD" w:rsidRPr="004237DD" w:rsidRDefault="004237DD" w:rsidP="004237DD">
            <w:pPr>
              <w:spacing w:after="0" w:line="85"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Alan (m</w:t>
            </w:r>
            <w:r w:rsidRPr="004237DD">
              <w:rPr>
                <w:rFonts w:ascii="Times New Roman" w:eastAsia="Times New Roman" w:hAnsi="Times New Roman" w:cs="Times New Roman"/>
                <w:color w:val="000000"/>
                <w:sz w:val="18"/>
                <w:szCs w:val="18"/>
                <w:vertAlign w:val="superscript"/>
                <w:lang w:eastAsia="tr-TR"/>
              </w:rPr>
              <w:t>2</w:t>
            </w:r>
            <w:r w:rsidRPr="004237DD">
              <w:rPr>
                <w:rFonts w:ascii="Times New Roman" w:eastAsia="Times New Roman" w:hAnsi="Times New Roman" w:cs="Times New Roman"/>
                <w:color w:val="000000"/>
                <w:sz w:val="18"/>
                <w:szCs w:val="18"/>
                <w:lang w:eastAsia="tr-TR"/>
              </w:rPr>
              <w:t>)</w:t>
            </w:r>
          </w:p>
        </w:tc>
        <w:tc>
          <w:tcPr>
            <w:tcW w:w="2130" w:type="dxa"/>
            <w:tcBorders>
              <w:top w:val="single" w:sz="8" w:space="0" w:color="auto"/>
              <w:left w:val="nil"/>
              <w:bottom w:val="single" w:sz="8" w:space="0" w:color="auto"/>
              <w:right w:val="single" w:sz="8" w:space="0" w:color="auto"/>
            </w:tcBorders>
            <w:noWrap/>
            <w:vAlign w:val="bottom"/>
            <w:hideMark/>
          </w:tcPr>
          <w:p w:rsidR="004237DD" w:rsidRPr="004237DD" w:rsidRDefault="004237DD" w:rsidP="004237DD">
            <w:pPr>
              <w:spacing w:after="0" w:line="85"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Geçici Teminat (TL)</w:t>
            </w:r>
          </w:p>
        </w:tc>
      </w:tr>
      <w:tr w:rsidR="004237DD" w:rsidRPr="004237DD" w:rsidTr="004237DD">
        <w:trPr>
          <w:trHeight w:val="85"/>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85"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85"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3999-1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85"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7.044,65</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85"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4000-1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14.087,91</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4002-1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4.909,61</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4002-2</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3.070,65</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4006-1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11.397,15</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4009-1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6.331,00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4011-1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4.556,29</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4012-1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9.332,81</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4016-2</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6.204,88</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4021-1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4.879,77</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11</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4025-4</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3.126,54</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4026-3</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672,61</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13</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4031-1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5.071,78</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14</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4032-4</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738,65</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4037-1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1.756,20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16</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4039-1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5.797,11</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4044-1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13.017,99</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18</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4045-1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7.281,44</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19</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4047-1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6.365,59</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20</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4050-1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4.080,91</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21</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4051-1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4.004,70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22</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4051-2</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4.937,96</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23</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4052-1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3.523,22</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24</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4054-1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8.158,30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4055-1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10.306,90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26</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4059-5</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1.007,96</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27</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4061-1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5.726,34</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28</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4063-1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5.269,78</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29</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4065-7</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920,43</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30</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4069-2</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2.874,68</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31</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4070-3</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2.857,20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32</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4072-2</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1.248,77</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33</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4075-1</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2.909,90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34</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4075-2</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418,73</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35</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4075-3</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447,02</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36</w:t>
            </w:r>
            <w:r w:rsidRPr="004237DD">
              <w:rPr>
                <w:rFonts w:ascii="Times New Roman" w:eastAsia="Times New Roman" w:hAnsi="Times New Roman" w:cs="Times New Roman"/>
                <w:color w:val="000000"/>
                <w:sz w:val="18"/>
                <w:szCs w:val="18"/>
                <w:vertAlign w:val="superscript"/>
                <w:lang w:eastAsia="tr-TR"/>
              </w:rPr>
              <w:t>*1</w:t>
            </w:r>
          </w:p>
        </w:tc>
        <w:tc>
          <w:tcPr>
            <w:tcW w:w="1843"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4015-5</w:t>
            </w:r>
          </w:p>
        </w:tc>
        <w:tc>
          <w:tcPr>
            <w:tcW w:w="1996"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177,10</w:t>
            </w:r>
          </w:p>
        </w:tc>
        <w:tc>
          <w:tcPr>
            <w:tcW w:w="2130" w:type="dxa"/>
            <w:tcBorders>
              <w:top w:val="nil"/>
              <w:left w:val="nil"/>
              <w:bottom w:val="single" w:sz="8" w:space="0" w:color="auto"/>
              <w:right w:val="single" w:sz="8" w:space="0" w:color="auto"/>
            </w:tcBorders>
            <w:noWrap/>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37</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4077-1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4.712,23</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38</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4078-5</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1.368,33</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39</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4080-2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3.514,65</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4081-1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4.840,03</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4082-1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5.850,08</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42</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4084-3</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475,38</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43</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4088-2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476,59</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44</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4089-1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2.608,81</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0"/>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45</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4089-2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3.002,07</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46</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4090-1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7.933,81</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47</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4091-2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7.172,66</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lastRenderedPageBreak/>
              <w:t>48</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4092-1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663,78</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49</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4096-1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3.396,55</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4097-1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5.796,50</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51</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4098-1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5.282,31</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52</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4099-2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1.258,12</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53</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4102-1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3.865,97</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54</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4103-1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1.043,60</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55</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4104-1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8.794,66</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56</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4106-1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6.072,20</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57</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4107-1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2.252,88</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58</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4108-1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9.250,98</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59</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4110-1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6.302,45</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4112-2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853,57</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61</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4112-8</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8.032,08</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62</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4113-2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11.637,68</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63</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4113-3</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10.615,91</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64</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4117-2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9.339,17</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65</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4121-1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8.377,80</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66</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4121-2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7.936,31</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67</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4123-1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6.186,15</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68</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4124-1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5.937,42</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69</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4125-1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3.063,04</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4126-1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4.284,47</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71</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4134-1</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5.106,49</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72</w:t>
            </w:r>
            <w:r w:rsidRPr="004237DD">
              <w:rPr>
                <w:rFonts w:ascii="Times New Roman" w:eastAsia="Times New Roman" w:hAnsi="Times New Roman" w:cs="Times New Roman"/>
                <w:color w:val="000000"/>
                <w:sz w:val="18"/>
                <w:szCs w:val="18"/>
                <w:vertAlign w:val="superscript"/>
                <w:lang w:eastAsia="tr-TR"/>
              </w:rPr>
              <w:t>*2</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4063-2</w:t>
            </w:r>
          </w:p>
        </w:tc>
        <w:tc>
          <w:tcPr>
            <w:tcW w:w="19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80,32</w:t>
            </w:r>
          </w:p>
        </w:tc>
        <w:tc>
          <w:tcPr>
            <w:tcW w:w="2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4136-4</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1.482,99</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74</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4137-1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6.717,07</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4138-4</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725,04</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4141-3</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665,70</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4142-2</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484,27</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4145-1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2.105,60</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4147-1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5.389,05</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4174-13</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1.938,19</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4148-1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5.504,70</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4149-1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6.404,29</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4150-1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966,04</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84</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4150-3</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2.455,63</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4152-2</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2.654,10</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4152-6</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1.403,69</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4154-1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2.177,54</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4155-3</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1.682,81</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4156-2</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3.550,47</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4157-7</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1.500,00</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4159-2</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1.608,92</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4161-1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11.146,45</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4162-1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5.622,92</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94</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4163-1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7.492,29</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4164-1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1.576,71</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4165-1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5.876,65</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4168-5</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3.671,16</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lastRenderedPageBreak/>
              <w:t>98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4169-1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20.754,92</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30.000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99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4171-1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15.953,53</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4172-1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8.669,29</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4174-7</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647,17</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4179-5</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1.260,94</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4179-6</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1.496,94</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104</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4184-3</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795,18</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4185-8</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697,04</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4195-1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1.440,37</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4196-1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1.201,08</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5.000</w:t>
            </w:r>
          </w:p>
        </w:tc>
      </w:tr>
      <w:tr w:rsidR="004237DD" w:rsidRPr="004237DD" w:rsidTr="004237DD">
        <w:trPr>
          <w:trHeight w:val="251"/>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108</w:t>
            </w:r>
            <w:r w:rsidRPr="004237DD">
              <w:rPr>
                <w:rFonts w:ascii="Times New Roman" w:eastAsia="Times New Roman" w:hAnsi="Times New Roman" w:cs="Times New Roman"/>
                <w:color w:val="000000"/>
                <w:sz w:val="18"/>
                <w:szCs w:val="18"/>
                <w:vertAlign w:val="superscript"/>
                <w:lang w:eastAsia="tr-TR"/>
              </w:rPr>
              <w:t>*3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4075-11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63,47</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2.500</w:t>
            </w:r>
          </w:p>
        </w:tc>
      </w:tr>
      <w:tr w:rsidR="004237DD" w:rsidRPr="004237DD" w:rsidTr="004237DD">
        <w:trPr>
          <w:trHeight w:val="247"/>
        </w:trPr>
        <w:tc>
          <w:tcPr>
            <w:tcW w:w="10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jc w:val="center"/>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4203-1</w:t>
            </w:r>
          </w:p>
        </w:tc>
        <w:tc>
          <w:tcPr>
            <w:tcW w:w="19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left="307"/>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10.306,28</w:t>
            </w:r>
          </w:p>
        </w:tc>
        <w:tc>
          <w:tcPr>
            <w:tcW w:w="2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237DD" w:rsidRPr="004237DD" w:rsidRDefault="004237DD" w:rsidP="004237DD">
            <w:pPr>
              <w:spacing w:after="0" w:line="240" w:lineRule="atLeast"/>
              <w:ind w:right="703"/>
              <w:jc w:val="right"/>
              <w:rPr>
                <w:rFonts w:ascii="Times New Roman" w:eastAsia="Times New Roman" w:hAnsi="Times New Roman" w:cs="Times New Roman"/>
                <w:sz w:val="20"/>
                <w:szCs w:val="20"/>
                <w:lang w:eastAsia="tr-TR"/>
              </w:rPr>
            </w:pPr>
            <w:r w:rsidRPr="004237DD">
              <w:rPr>
                <w:rFonts w:ascii="Times New Roman" w:eastAsia="Times New Roman" w:hAnsi="Times New Roman" w:cs="Times New Roman"/>
                <w:color w:val="000000"/>
                <w:sz w:val="18"/>
                <w:szCs w:val="18"/>
                <w:lang w:eastAsia="tr-TR"/>
              </w:rPr>
              <w:t>17.500</w:t>
            </w:r>
          </w:p>
        </w:tc>
      </w:tr>
    </w:tbl>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 </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*1: Toplam 600 m</w:t>
      </w:r>
      <w:r w:rsidRPr="004237DD">
        <w:rPr>
          <w:rFonts w:ascii="Times New Roman" w:eastAsia="Times New Roman" w:hAnsi="Times New Roman" w:cs="Times New Roman"/>
          <w:color w:val="000000"/>
          <w:sz w:val="18"/>
          <w:szCs w:val="18"/>
          <w:vertAlign w:val="superscript"/>
          <w:lang w:eastAsia="tr-TR"/>
        </w:rPr>
        <w:t>2’</w:t>
      </w:r>
      <w:r w:rsidRPr="004237DD">
        <w:rPr>
          <w:rFonts w:ascii="Times New Roman" w:eastAsia="Times New Roman" w:hAnsi="Times New Roman" w:cs="Times New Roman"/>
          <w:color w:val="000000"/>
          <w:sz w:val="18"/>
          <w:szCs w:val="18"/>
          <w:lang w:eastAsia="tr-TR"/>
        </w:rPr>
        <w:t>de 1771/6000 hisse (177,10 m</w:t>
      </w:r>
      <w:r w:rsidRPr="004237DD">
        <w:rPr>
          <w:rFonts w:ascii="Times New Roman" w:eastAsia="Times New Roman" w:hAnsi="Times New Roman" w:cs="Times New Roman"/>
          <w:color w:val="000000"/>
          <w:sz w:val="18"/>
          <w:szCs w:val="18"/>
          <w:vertAlign w:val="superscript"/>
          <w:lang w:eastAsia="tr-TR"/>
        </w:rPr>
        <w:t>2</w:t>
      </w:r>
      <w:r w:rsidRPr="004237DD">
        <w:rPr>
          <w:rFonts w:ascii="Times New Roman" w:eastAsia="Times New Roman" w:hAnsi="Times New Roman" w:cs="Times New Roman"/>
          <w:color w:val="000000"/>
          <w:sz w:val="18"/>
          <w:szCs w:val="18"/>
          <w:lang w:eastAsia="tr-TR"/>
        </w:rPr>
        <w:t>),</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*2: Toplam 1.761,01 m</w:t>
      </w:r>
      <w:r w:rsidRPr="004237DD">
        <w:rPr>
          <w:rFonts w:ascii="Times New Roman" w:eastAsia="Times New Roman" w:hAnsi="Times New Roman" w:cs="Times New Roman"/>
          <w:color w:val="000000"/>
          <w:sz w:val="18"/>
          <w:szCs w:val="18"/>
          <w:vertAlign w:val="superscript"/>
          <w:lang w:eastAsia="tr-TR"/>
        </w:rPr>
        <w:t>2’</w:t>
      </w:r>
      <w:r w:rsidRPr="004237DD">
        <w:rPr>
          <w:rFonts w:ascii="Times New Roman" w:eastAsia="Times New Roman" w:hAnsi="Times New Roman" w:cs="Times New Roman"/>
          <w:color w:val="000000"/>
          <w:sz w:val="18"/>
          <w:szCs w:val="18"/>
          <w:lang w:eastAsia="tr-TR"/>
        </w:rPr>
        <w:t>de 8032/176101 hisse (80,32 m</w:t>
      </w:r>
      <w:r w:rsidRPr="004237DD">
        <w:rPr>
          <w:rFonts w:ascii="Times New Roman" w:eastAsia="Times New Roman" w:hAnsi="Times New Roman" w:cs="Times New Roman"/>
          <w:color w:val="000000"/>
          <w:sz w:val="18"/>
          <w:szCs w:val="18"/>
          <w:vertAlign w:val="superscript"/>
          <w:lang w:eastAsia="tr-TR"/>
        </w:rPr>
        <w:t>2</w:t>
      </w:r>
      <w:r w:rsidRPr="004237DD">
        <w:rPr>
          <w:rFonts w:ascii="Times New Roman" w:eastAsia="Times New Roman" w:hAnsi="Times New Roman" w:cs="Times New Roman"/>
          <w:color w:val="000000"/>
          <w:sz w:val="18"/>
          <w:szCs w:val="18"/>
          <w:lang w:eastAsia="tr-TR"/>
        </w:rPr>
        <w:t>),</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*3: Toplam 1258,83 m</w:t>
      </w:r>
      <w:r w:rsidRPr="004237DD">
        <w:rPr>
          <w:rFonts w:ascii="Times New Roman" w:eastAsia="Times New Roman" w:hAnsi="Times New Roman" w:cs="Times New Roman"/>
          <w:color w:val="000000"/>
          <w:sz w:val="18"/>
          <w:szCs w:val="18"/>
          <w:vertAlign w:val="superscript"/>
          <w:lang w:eastAsia="tr-TR"/>
        </w:rPr>
        <w:t>2’</w:t>
      </w:r>
      <w:r w:rsidRPr="004237DD">
        <w:rPr>
          <w:rFonts w:ascii="Times New Roman" w:eastAsia="Times New Roman" w:hAnsi="Times New Roman" w:cs="Times New Roman"/>
          <w:color w:val="000000"/>
          <w:sz w:val="18"/>
          <w:szCs w:val="18"/>
          <w:lang w:eastAsia="tr-TR"/>
        </w:rPr>
        <w:t>de 6347/125883 hisse (63,47 m</w:t>
      </w:r>
      <w:r w:rsidRPr="004237DD">
        <w:rPr>
          <w:rFonts w:ascii="Times New Roman" w:eastAsia="Times New Roman" w:hAnsi="Times New Roman" w:cs="Times New Roman"/>
          <w:color w:val="000000"/>
          <w:sz w:val="18"/>
          <w:szCs w:val="18"/>
          <w:vertAlign w:val="superscript"/>
          <w:lang w:eastAsia="tr-TR"/>
        </w:rPr>
        <w:t>2</w:t>
      </w:r>
      <w:r w:rsidRPr="004237DD">
        <w:rPr>
          <w:rFonts w:ascii="Times New Roman" w:eastAsia="Times New Roman" w:hAnsi="Times New Roman" w:cs="Times New Roman"/>
          <w:color w:val="000000"/>
          <w:sz w:val="18"/>
          <w:szCs w:val="18"/>
          <w:lang w:eastAsia="tr-TR"/>
        </w:rPr>
        <w:t>)</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Ankara Doğal Elektrik Üretim ve Ticaret A.Ş. (ADÜAŞ) tarafından Maliye Hazinesi adına kayıtlı yukarıdaki tabloda belirtilen taşınmazların her biri ayrı ayrı 4046 sayılı Özelleştirme Uygulamaları Hakkında Kanun hükümleri çerçevesinde “açık artırma usulü” uygulanmak suretiyle “satış” yöntemi ile özelleştirilecektir. Taşınmazların her biri için İhale Şartnamesi ve Tanıtım Dokümanı bedeli 200.-(</w:t>
      </w:r>
      <w:proofErr w:type="spellStart"/>
      <w:r w:rsidRPr="004237DD">
        <w:rPr>
          <w:rFonts w:ascii="Times New Roman" w:eastAsia="Times New Roman" w:hAnsi="Times New Roman" w:cs="Times New Roman"/>
          <w:color w:val="000000"/>
          <w:sz w:val="18"/>
          <w:szCs w:val="18"/>
          <w:lang w:eastAsia="tr-TR"/>
        </w:rPr>
        <w:t>ikiyüz</w:t>
      </w:r>
      <w:proofErr w:type="spellEnd"/>
      <w:r w:rsidRPr="004237DD">
        <w:rPr>
          <w:rFonts w:ascii="Times New Roman" w:eastAsia="Times New Roman" w:hAnsi="Times New Roman" w:cs="Times New Roman"/>
          <w:color w:val="000000"/>
          <w:sz w:val="18"/>
          <w:szCs w:val="18"/>
          <w:lang w:eastAsia="tr-TR"/>
        </w:rPr>
        <w:t>) TL ve İhale Şartnamesi ve Tanıtım Dokümanının bedelinin ödenerek teslim alınması için son tarih, 05.05.2017 (son başvuru tarihi) Cuma günü saat </w:t>
      </w:r>
      <w:proofErr w:type="gramStart"/>
      <w:r w:rsidRPr="004237DD">
        <w:rPr>
          <w:rFonts w:ascii="Times New Roman" w:eastAsia="Times New Roman" w:hAnsi="Times New Roman" w:cs="Times New Roman"/>
          <w:color w:val="000000"/>
          <w:sz w:val="18"/>
          <w:szCs w:val="18"/>
          <w:lang w:eastAsia="tr-TR"/>
        </w:rPr>
        <w:t>17:00’dir</w:t>
      </w:r>
      <w:proofErr w:type="gramEnd"/>
      <w:r w:rsidRPr="004237DD">
        <w:rPr>
          <w:rFonts w:ascii="Times New Roman" w:eastAsia="Times New Roman" w:hAnsi="Times New Roman" w:cs="Times New Roman"/>
          <w:color w:val="000000"/>
          <w:sz w:val="18"/>
          <w:szCs w:val="18"/>
          <w:lang w:eastAsia="tr-TR"/>
        </w:rPr>
        <w:t>. Bu tarih ve saatten sonra yapılacak başvurular dikkate alınmayacaktır. ADÜAŞ, İhale Şartnamesi ve Tanıtım Dokümanının satın alınmasına ilişkin son başvuru tarihini belirli bir tarihe kadar veya bilahare belirlenecek bir tarihe kadar uzatabilir. Bu husus son başvuru tarihinin sona ermesinden önce duyurulacaktır.</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1 - Açık artırma ihalelerinde, ihale konusu taşınmazlardan birinin ihalesine teklif verilebileceği gibi ayrı ayrı olmak koşuluyla birden fazla taşınmaz için de teklif verilebilir. Verilen teklifler herhangi bir şartı içeremez ve birden fazla taşınmaz için teklif verilmesi halinde bu teklifler birbiriyle ilişkilendirilemez.</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37DD">
        <w:rPr>
          <w:rFonts w:ascii="Times New Roman" w:eastAsia="Times New Roman" w:hAnsi="Times New Roman" w:cs="Times New Roman"/>
          <w:color w:val="000000"/>
          <w:sz w:val="18"/>
          <w:szCs w:val="18"/>
          <w:lang w:eastAsia="tr-TR"/>
        </w:rPr>
        <w:t>2 - İhale konusu taşınmazların açık artırma ihalelerine, tanıtım dokümanı ve ihale şartnamesi satın alanlardan ihale şartnamesinde belirtilen şartları sağlayan ve yukarıdaki tabloda belirtilen tutardaki geçici teminatı </w:t>
      </w:r>
      <w:proofErr w:type="spellStart"/>
      <w:r w:rsidRPr="004237DD">
        <w:rPr>
          <w:rFonts w:ascii="Times New Roman" w:eastAsia="Times New Roman" w:hAnsi="Times New Roman" w:cs="Times New Roman"/>
          <w:color w:val="000000"/>
          <w:sz w:val="18"/>
          <w:szCs w:val="18"/>
          <w:lang w:eastAsia="tr-TR"/>
        </w:rPr>
        <w:t>ADÜAŞ’a</w:t>
      </w:r>
      <w:proofErr w:type="spellEnd"/>
      <w:r w:rsidRPr="004237DD">
        <w:rPr>
          <w:rFonts w:ascii="Times New Roman" w:eastAsia="Times New Roman" w:hAnsi="Times New Roman" w:cs="Times New Roman"/>
          <w:color w:val="000000"/>
          <w:sz w:val="18"/>
          <w:szCs w:val="18"/>
          <w:lang w:eastAsia="tr-TR"/>
        </w:rPr>
        <w:t> teslim edenler/</w:t>
      </w:r>
      <w:proofErr w:type="spellStart"/>
      <w:r w:rsidRPr="004237DD">
        <w:rPr>
          <w:rFonts w:ascii="Times New Roman" w:eastAsia="Times New Roman" w:hAnsi="Times New Roman" w:cs="Times New Roman"/>
          <w:color w:val="000000"/>
          <w:sz w:val="18"/>
          <w:szCs w:val="18"/>
          <w:lang w:eastAsia="tr-TR"/>
        </w:rPr>
        <w:t>ADÜAŞ’ın</w:t>
      </w:r>
      <w:proofErr w:type="spellEnd"/>
      <w:r w:rsidRPr="004237DD">
        <w:rPr>
          <w:rFonts w:ascii="Times New Roman" w:eastAsia="Times New Roman" w:hAnsi="Times New Roman" w:cs="Times New Roman"/>
          <w:color w:val="000000"/>
          <w:sz w:val="18"/>
          <w:szCs w:val="18"/>
          <w:lang w:eastAsia="tr-TR"/>
        </w:rPr>
        <w:t> hesabına yatıranlar katılabilecek olup ihale konusu taşınmazların açık artırma ihalelerinin tarih, saat ve yeri ile ihale şartnamesi kapsamında Teklif Sahipleri tarafından yerine getirilmesi istenen diğer hususlar son başvuru tarihinden sonra ADÜAŞ tarafından Teklif Sahiplerine bildirilecektir.</w:t>
      </w:r>
      <w:proofErr w:type="gramEnd"/>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3 - İhalelere katılabilmek için ilgili İhale Şartnamesi ve Tanıtım Dokümanının satın alınması zorunludur. İhale Şartnamesi ve Tanıtım Dokümanı; </w:t>
      </w:r>
      <w:proofErr w:type="spellStart"/>
      <w:r w:rsidRPr="004237DD">
        <w:rPr>
          <w:rFonts w:ascii="Times New Roman" w:eastAsia="Times New Roman" w:hAnsi="Times New Roman" w:cs="Times New Roman"/>
          <w:color w:val="000000"/>
          <w:sz w:val="18"/>
          <w:szCs w:val="18"/>
          <w:lang w:eastAsia="tr-TR"/>
        </w:rPr>
        <w:t>T.Halk</w:t>
      </w:r>
      <w:proofErr w:type="spellEnd"/>
      <w:r w:rsidRPr="004237DD">
        <w:rPr>
          <w:rFonts w:ascii="Times New Roman" w:eastAsia="Times New Roman" w:hAnsi="Times New Roman" w:cs="Times New Roman"/>
          <w:color w:val="000000"/>
          <w:sz w:val="18"/>
          <w:szCs w:val="18"/>
          <w:lang w:eastAsia="tr-TR"/>
        </w:rPr>
        <w:t> Bankası Ankara </w:t>
      </w:r>
      <w:proofErr w:type="spellStart"/>
      <w:r w:rsidRPr="004237DD">
        <w:rPr>
          <w:rFonts w:ascii="Times New Roman" w:eastAsia="Times New Roman" w:hAnsi="Times New Roman" w:cs="Times New Roman"/>
          <w:color w:val="000000"/>
          <w:sz w:val="18"/>
          <w:szCs w:val="18"/>
          <w:lang w:eastAsia="tr-TR"/>
        </w:rPr>
        <w:t>Mithatpaşa</w:t>
      </w:r>
      <w:proofErr w:type="spellEnd"/>
      <w:r w:rsidRPr="004237DD">
        <w:rPr>
          <w:rFonts w:ascii="Times New Roman" w:eastAsia="Times New Roman" w:hAnsi="Times New Roman" w:cs="Times New Roman"/>
          <w:color w:val="000000"/>
          <w:sz w:val="18"/>
          <w:szCs w:val="18"/>
          <w:lang w:eastAsia="tr-TR"/>
        </w:rPr>
        <w:t> Şubesi nezdinde bulunan ADÜAŞ Genel Müdürlüğünün TR820001200939600010260124 no.lu hesabına birden fazla taşınmaz için ihaleye katılmak istenilmesi halinde taşınmazların her biri için ayrı ayrı yatırılarak ve “Ada-Parsel No, İhale Şartnamesi-Tanıtım Dokümanı Bedeli” ifadesini içerir şekilde ve üstünde ihaleye katılacak olan gerçek kişi, tüzel kişi veya ortak girişim grubunun ve/veya ortak girişim gurubu üyelerinden birinin adının belirtildiği dekont karşılığında, son başvuru tarihine kadar </w:t>
      </w:r>
      <w:proofErr w:type="spellStart"/>
      <w:r w:rsidRPr="004237DD">
        <w:rPr>
          <w:rFonts w:ascii="Times New Roman" w:eastAsia="Times New Roman" w:hAnsi="Times New Roman" w:cs="Times New Roman"/>
          <w:color w:val="000000"/>
          <w:sz w:val="18"/>
          <w:szCs w:val="18"/>
          <w:lang w:eastAsia="tr-TR"/>
        </w:rPr>
        <w:t>ADÜAŞ’ın</w:t>
      </w:r>
      <w:proofErr w:type="spellEnd"/>
      <w:r w:rsidRPr="004237DD">
        <w:rPr>
          <w:rFonts w:ascii="Times New Roman" w:eastAsia="Times New Roman" w:hAnsi="Times New Roman" w:cs="Times New Roman"/>
          <w:color w:val="000000"/>
          <w:sz w:val="18"/>
          <w:szCs w:val="18"/>
          <w:lang w:eastAsia="tr-TR"/>
        </w:rPr>
        <w:t> aşağıda belirtilen adresinden ayrıca 04-05/05/2017 tarihlerinde Kütahya Belediyesi’nin Ali Paşa Mah</w:t>
      </w:r>
      <w:proofErr w:type="gramStart"/>
      <w:r w:rsidRPr="004237DD">
        <w:rPr>
          <w:rFonts w:ascii="Times New Roman" w:eastAsia="Times New Roman" w:hAnsi="Times New Roman" w:cs="Times New Roman"/>
          <w:color w:val="000000"/>
          <w:sz w:val="18"/>
          <w:szCs w:val="18"/>
          <w:lang w:eastAsia="tr-TR"/>
        </w:rPr>
        <w:t>.,</w:t>
      </w:r>
      <w:proofErr w:type="gramEnd"/>
      <w:r w:rsidRPr="004237DD">
        <w:rPr>
          <w:rFonts w:ascii="Times New Roman" w:eastAsia="Times New Roman" w:hAnsi="Times New Roman" w:cs="Times New Roman"/>
          <w:color w:val="000000"/>
          <w:sz w:val="18"/>
          <w:szCs w:val="18"/>
          <w:lang w:eastAsia="tr-TR"/>
        </w:rPr>
        <w:t> Fatih Sultan </w:t>
      </w:r>
      <w:proofErr w:type="spellStart"/>
      <w:r w:rsidRPr="004237DD">
        <w:rPr>
          <w:rFonts w:ascii="Times New Roman" w:eastAsia="Times New Roman" w:hAnsi="Times New Roman" w:cs="Times New Roman"/>
          <w:color w:val="000000"/>
          <w:sz w:val="18"/>
          <w:szCs w:val="18"/>
          <w:lang w:eastAsia="tr-TR"/>
        </w:rPr>
        <w:t>Mehmed</w:t>
      </w:r>
      <w:proofErr w:type="spellEnd"/>
      <w:r w:rsidRPr="004237DD">
        <w:rPr>
          <w:rFonts w:ascii="Times New Roman" w:eastAsia="Times New Roman" w:hAnsi="Times New Roman" w:cs="Times New Roman"/>
          <w:color w:val="000000"/>
          <w:sz w:val="18"/>
          <w:szCs w:val="18"/>
          <w:lang w:eastAsia="tr-TR"/>
        </w:rPr>
        <w:t> Bulvarı, Evliya Çelebi İş Merkezi No:22 Kütahya adresindeki 3. Kat Komisyon Toplantı Salonundan temin edilebilir. Yatırılan bedel hiçbir surette iade edilmez.</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4 - Özelleştirme ihaleleri, 2886 sayılı Devlet İhale Kanununa tabi olmayıp, ADÜAŞ ihaleyi yapıp yapmamakta, dilediğine yapmakta serbesttir. </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5 - Özelleştirme işlemleri her türlü vergi, resim, harç ve KDV’den muaftır.</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w:t>
      </w:r>
    </w:p>
    <w:p w:rsidR="004237DD" w:rsidRPr="004237DD" w:rsidRDefault="004237DD" w:rsidP="004237DD">
      <w:pPr>
        <w:spacing w:after="0" w:line="240" w:lineRule="atLeast"/>
        <w:ind w:firstLine="567"/>
        <w:jc w:val="both"/>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7 - İhalelere ilişkin diğer hususlar İhale Şartnamelerinde yer almaktadır.</w:t>
      </w:r>
    </w:p>
    <w:p w:rsidR="004237DD" w:rsidRPr="004237DD" w:rsidRDefault="004237DD" w:rsidP="004237DD">
      <w:pPr>
        <w:spacing w:after="0" w:line="240" w:lineRule="atLeast"/>
        <w:jc w:val="center"/>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ANKARA DOĞAL ELEKTRİK ÜRETİM VE TİCARET A.Ş. GENEL MÜDÜRLÜĞÜ</w:t>
      </w:r>
    </w:p>
    <w:p w:rsidR="004237DD" w:rsidRPr="004237DD" w:rsidRDefault="004237DD" w:rsidP="004237DD">
      <w:pPr>
        <w:spacing w:after="0" w:line="240" w:lineRule="atLeast"/>
        <w:jc w:val="center"/>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Cumhuriyet Mah. İnkılap Sok. No:4 D:4-6 Kızılay Çankaya-ANKARA</w:t>
      </w:r>
    </w:p>
    <w:p w:rsidR="004237DD" w:rsidRPr="004237DD" w:rsidRDefault="004237DD" w:rsidP="004237DD">
      <w:pPr>
        <w:spacing w:after="0" w:line="240" w:lineRule="atLeast"/>
        <w:jc w:val="center"/>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Tel : (312) 286 62 46 * Faks: (312) 286 62 48* www.aduas.gov.tr</w:t>
      </w:r>
    </w:p>
    <w:p w:rsidR="004237DD" w:rsidRPr="004237DD" w:rsidRDefault="004237DD" w:rsidP="004237DD">
      <w:pPr>
        <w:spacing w:after="0" w:line="240" w:lineRule="atLeast"/>
        <w:ind w:firstLine="567"/>
        <w:jc w:val="right"/>
        <w:rPr>
          <w:rFonts w:ascii="Times New Roman" w:eastAsia="Times New Roman" w:hAnsi="Times New Roman" w:cs="Times New Roman"/>
          <w:color w:val="000000"/>
          <w:sz w:val="20"/>
          <w:szCs w:val="20"/>
          <w:lang w:eastAsia="tr-TR"/>
        </w:rPr>
      </w:pPr>
      <w:r w:rsidRPr="004237DD">
        <w:rPr>
          <w:rFonts w:ascii="Times New Roman" w:eastAsia="Times New Roman" w:hAnsi="Times New Roman" w:cs="Times New Roman"/>
          <w:color w:val="000000"/>
          <w:sz w:val="18"/>
          <w:szCs w:val="18"/>
          <w:lang w:eastAsia="tr-TR"/>
        </w:rPr>
        <w:t>2947/1-1</w:t>
      </w:r>
    </w:p>
    <w:p w:rsidR="004237DD" w:rsidRPr="004237DD" w:rsidRDefault="004237DD" w:rsidP="004237DD">
      <w:pPr>
        <w:spacing w:after="0" w:line="240" w:lineRule="atLeast"/>
        <w:rPr>
          <w:rFonts w:ascii="Times New Roman" w:eastAsia="Times New Roman" w:hAnsi="Times New Roman" w:cs="Times New Roman"/>
          <w:color w:val="000000"/>
          <w:sz w:val="27"/>
          <w:szCs w:val="27"/>
          <w:lang w:eastAsia="tr-TR"/>
        </w:rPr>
      </w:pPr>
      <w:hyperlink r:id="rId5" w:anchor="_top" w:history="1">
        <w:r w:rsidRPr="004237DD">
          <w:rPr>
            <w:rFonts w:ascii="Arial" w:eastAsia="Times New Roman" w:hAnsi="Arial" w:cs="Arial"/>
            <w:color w:val="800080"/>
            <w:sz w:val="28"/>
            <w:szCs w:val="28"/>
            <w:u w:val="single"/>
            <w:lang w:val="en-US" w:eastAsia="tr-TR"/>
          </w:rPr>
          <w:t>▲</w:t>
        </w:r>
      </w:hyperlink>
    </w:p>
    <w:p w:rsidR="0052362A" w:rsidRDefault="0052362A"/>
    <w:sectPr w:rsidR="005236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DD"/>
    <w:rsid w:val="004237DD"/>
    <w:rsid w:val="005236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237DD"/>
  </w:style>
  <w:style w:type="character" w:customStyle="1" w:styleId="apple-converted-space">
    <w:name w:val="apple-converted-space"/>
    <w:basedOn w:val="VarsaylanParagrafYazTipi"/>
    <w:rsid w:val="004237DD"/>
  </w:style>
  <w:style w:type="character" w:customStyle="1" w:styleId="grame">
    <w:name w:val="grame"/>
    <w:basedOn w:val="VarsaylanParagrafYazTipi"/>
    <w:rsid w:val="004237DD"/>
  </w:style>
  <w:style w:type="paragraph" w:styleId="NormalWeb">
    <w:name w:val="Normal (Web)"/>
    <w:basedOn w:val="Normal"/>
    <w:uiPriority w:val="99"/>
    <w:semiHidden/>
    <w:unhideWhenUsed/>
    <w:rsid w:val="004237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237DD"/>
    <w:rPr>
      <w:color w:val="0000FF"/>
      <w:u w:val="single"/>
    </w:rPr>
  </w:style>
  <w:style w:type="character" w:styleId="zlenenKpr">
    <w:name w:val="FollowedHyperlink"/>
    <w:basedOn w:val="VarsaylanParagrafYazTipi"/>
    <w:uiPriority w:val="99"/>
    <w:semiHidden/>
    <w:unhideWhenUsed/>
    <w:rsid w:val="004237D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237DD"/>
  </w:style>
  <w:style w:type="character" w:customStyle="1" w:styleId="apple-converted-space">
    <w:name w:val="apple-converted-space"/>
    <w:basedOn w:val="VarsaylanParagrafYazTipi"/>
    <w:rsid w:val="004237DD"/>
  </w:style>
  <w:style w:type="character" w:customStyle="1" w:styleId="grame">
    <w:name w:val="grame"/>
    <w:basedOn w:val="VarsaylanParagrafYazTipi"/>
    <w:rsid w:val="004237DD"/>
  </w:style>
  <w:style w:type="paragraph" w:styleId="NormalWeb">
    <w:name w:val="Normal (Web)"/>
    <w:basedOn w:val="Normal"/>
    <w:uiPriority w:val="99"/>
    <w:semiHidden/>
    <w:unhideWhenUsed/>
    <w:rsid w:val="004237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237DD"/>
    <w:rPr>
      <w:color w:val="0000FF"/>
      <w:u w:val="single"/>
    </w:rPr>
  </w:style>
  <w:style w:type="character" w:styleId="zlenenKpr">
    <w:name w:val="FollowedHyperlink"/>
    <w:basedOn w:val="VarsaylanParagrafYazTipi"/>
    <w:uiPriority w:val="99"/>
    <w:semiHidden/>
    <w:unhideWhenUsed/>
    <w:rsid w:val="004237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403-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2017-04-03T06:31:00Z</dcterms:created>
  <dcterms:modified xsi:type="dcterms:W3CDTF">2017-04-03T06:31:00Z</dcterms:modified>
</cp:coreProperties>
</file>