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TAŞINMAZLAR SATIŞ YÖNTEMİ VE PAZARLIK USULÜ İLE ÖZELLEŞTİRİLECEKTİR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b/>
          <w:bCs/>
          <w:color w:val="0000CC"/>
          <w:sz w:val="18"/>
          <w:szCs w:val="18"/>
          <w:lang w:eastAsia="tr-TR"/>
        </w:rPr>
        <w:t>Başbakanlık Özelleştirme İdaresi Başkanlığından:</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 xml:space="preserve">Özelleştirme kapsam ve programında bulunan muhtelif taşınmazlar, Başbakanlık Özelleştirme İdaresi Başkanlığı (İdare) tarafından 4046 sayılı Kanun hükümleri çerçevesinde “Satış” yöntemi ve “Pazarlık Usulü” uygulanmak suretiyle ayrı </w:t>
      </w:r>
      <w:proofErr w:type="spellStart"/>
      <w:r w:rsidRPr="006922F0">
        <w:rPr>
          <w:rFonts w:ascii="Times New Roman" w:eastAsia="Times New Roman" w:hAnsi="Times New Roman" w:cs="Times New Roman"/>
          <w:color w:val="000000"/>
          <w:sz w:val="18"/>
          <w:szCs w:val="18"/>
          <w:lang w:eastAsia="tr-TR"/>
        </w:rPr>
        <w:t>ayrı</w:t>
      </w:r>
      <w:proofErr w:type="spellEnd"/>
      <w:r w:rsidRPr="006922F0">
        <w:rPr>
          <w:rFonts w:ascii="Times New Roman" w:eastAsia="Times New Roman" w:hAnsi="Times New Roman" w:cs="Times New Roman"/>
          <w:color w:val="000000"/>
          <w:sz w:val="18"/>
          <w:szCs w:val="18"/>
          <w:lang w:eastAsia="tr-TR"/>
        </w:rPr>
        <w:t xml:space="preserve"> özelleştirilecektir.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932"/>
        <w:gridCol w:w="5409"/>
        <w:gridCol w:w="1705"/>
        <w:gridCol w:w="1705"/>
        <w:gridCol w:w="1589"/>
      </w:tblGrid>
      <w:tr w:rsidR="006922F0" w:rsidRPr="006922F0" w:rsidTr="006922F0">
        <w:trPr>
          <w:trHeight w:val="20"/>
          <w:tblHead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SIRA</w:t>
            </w:r>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NO</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İHALE KONUSU</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GEÇİCİ TEMİNATTUTARI (TL)</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İHALE ŞARTNAMESİ BEDELİ (TL)</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SON TEKLİF</w:t>
            </w:r>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VERME TARİHİ</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 xml:space="preserve">Muğla ili, Fethiye İlçesi, </w:t>
            </w:r>
            <w:proofErr w:type="spellStart"/>
            <w:r w:rsidRPr="006922F0">
              <w:rPr>
                <w:rFonts w:ascii="Times New Roman" w:eastAsia="Times New Roman" w:hAnsi="Times New Roman" w:cs="Times New Roman"/>
                <w:sz w:val="18"/>
                <w:szCs w:val="18"/>
                <w:lang w:eastAsia="tr-TR"/>
              </w:rPr>
              <w:t>Göcek</w:t>
            </w:r>
            <w:proofErr w:type="spellEnd"/>
            <w:r w:rsidRPr="006922F0">
              <w:rPr>
                <w:rFonts w:ascii="Times New Roman" w:eastAsia="Times New Roman" w:hAnsi="Times New Roman" w:cs="Times New Roman"/>
                <w:sz w:val="18"/>
                <w:szCs w:val="18"/>
                <w:lang w:eastAsia="tr-TR"/>
              </w:rPr>
              <w:t xml:space="preserve"> Mahallesi, 265 ada, 1 parseldeki 19.151,19 m² yüzölçümlü, 266 ada, 1 parseldeki 816,86 m² yüzölçümlü taşınmazlar üzerindeki binalarla birlikte bir bütün halinde</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08.02.2017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2</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 xml:space="preserve">Muğla ili, Fethiye İlçesi, </w:t>
            </w:r>
            <w:proofErr w:type="spellStart"/>
            <w:r w:rsidRPr="006922F0">
              <w:rPr>
                <w:rFonts w:ascii="Times New Roman" w:eastAsia="Times New Roman" w:hAnsi="Times New Roman" w:cs="Times New Roman"/>
                <w:sz w:val="18"/>
                <w:szCs w:val="18"/>
                <w:lang w:eastAsia="tr-TR"/>
              </w:rPr>
              <w:t>Göcek</w:t>
            </w:r>
            <w:proofErr w:type="spellEnd"/>
            <w:r w:rsidRPr="006922F0">
              <w:rPr>
                <w:rFonts w:ascii="Times New Roman" w:eastAsia="Times New Roman" w:hAnsi="Times New Roman" w:cs="Times New Roman"/>
                <w:sz w:val="18"/>
                <w:szCs w:val="18"/>
                <w:lang w:eastAsia="tr-TR"/>
              </w:rPr>
              <w:t xml:space="preserve"> Mahallesi, 519 parseldeki 6.893,00 m² yüzölçümlü, 520 parseldeki 2.360,00 m² yüzölçümlü, 521 parseldeki 2.096,00 m² yüzölçümlü taşınmazlar üzerindeki binalarla birlikte bir bütün halinde</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500.000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08.02.2017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Şanlıurfa ili,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Karaköprü</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(Merkez) ilçesi, Mehmetçik Mahallesi (Köyü), 170 ada, 2 parseldeki 7.355,34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200.000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08.02.2017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4</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Şanlıurfa ili,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Karaköprü</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(Merkez) ilçesi, Mehmetçik Mahallesi (Köyü), 186 ada, 1 parseldeki 2.739,31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80.000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08.02.2017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5</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Şanlıurfa ili,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Karaköprü</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(Merkez) ilçesi, Mehmetçik Mahallesi (Köyü), 193 ada, 2 parseldeki 5.795,44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08.02.2017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6</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444 ada, 5 parseldeki 3.000,00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7</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396 ada, 4 parseldeki 1.500,00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8</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396 ada, 3 parseldeki 1.500,00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9</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441 ada, 2 parseldeki 3.000,00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405 ada, 1 parseldeki 6.000,00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11</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444 ada, 2 parseldeki 3.000,00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12</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441 ada, 4 parseldeki 3.000,00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13</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396 ada, 5 parseldeki 1.500,00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14</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441 ada, 5 parseldeki 3.000,00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15</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112263 ada, 8 parseldeki 1.206,00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lastRenderedPageBreak/>
              <w:t>16</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112265 ada, 8 parseldeki 1.193,00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17</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2 parseldeki 1.040,00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18</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10 parseldeki 1.049,00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19</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12 parseldeki 1.057,00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20</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8 parseldeki 1.131,00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21</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14 parseldeki 1.112,00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22</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5 parseldeki 1.040,00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r w:rsidR="006922F0" w:rsidRPr="006922F0" w:rsidTr="006922F0">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23</w:t>
            </w:r>
          </w:p>
        </w:tc>
        <w:tc>
          <w:tcPr>
            <w:tcW w:w="2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both"/>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Ankara ili, Gölbaşı ilçesi,</w:t>
            </w:r>
            <w:r w:rsidRPr="006922F0">
              <w:rPr>
                <w:rFonts w:ascii="Times New Roman" w:eastAsia="Times New Roman" w:hAnsi="Times New Roman" w:cs="Times New Roman"/>
                <w:sz w:val="18"/>
                <w:lang w:eastAsia="tr-TR"/>
              </w:rPr>
              <w:t> </w:t>
            </w:r>
            <w:proofErr w:type="spellStart"/>
            <w:r w:rsidRPr="006922F0">
              <w:rPr>
                <w:rFonts w:ascii="Times New Roman" w:eastAsia="Times New Roman" w:hAnsi="Times New Roman" w:cs="Times New Roman"/>
                <w:sz w:val="18"/>
                <w:lang w:eastAsia="tr-TR"/>
              </w:rPr>
              <w:t>Kızılcaşar</w:t>
            </w:r>
            <w:proofErr w:type="spellEnd"/>
            <w:r w:rsidRPr="006922F0">
              <w:rPr>
                <w:rFonts w:ascii="Times New Roman" w:eastAsia="Times New Roman" w:hAnsi="Times New Roman" w:cs="Times New Roman"/>
                <w:sz w:val="18"/>
                <w:lang w:eastAsia="tr-TR"/>
              </w:rPr>
              <w:t> </w:t>
            </w:r>
            <w:r w:rsidRPr="006922F0">
              <w:rPr>
                <w:rFonts w:ascii="Times New Roman" w:eastAsia="Times New Roman" w:hAnsi="Times New Roman" w:cs="Times New Roman"/>
                <w:sz w:val="18"/>
                <w:szCs w:val="18"/>
                <w:lang w:eastAsia="tr-TR"/>
              </w:rPr>
              <w:t>Mahallesi, 112266 ada, 13 parseldeki 1.061,00 m² yüzölçümlü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300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2F0" w:rsidRPr="006922F0" w:rsidRDefault="006922F0" w:rsidP="006922F0">
            <w:pPr>
              <w:spacing w:after="0" w:line="20" w:lineRule="atLeast"/>
              <w:jc w:val="center"/>
              <w:rPr>
                <w:rFonts w:ascii="Times New Roman" w:eastAsia="Times New Roman" w:hAnsi="Times New Roman" w:cs="Times New Roman"/>
                <w:sz w:val="20"/>
                <w:szCs w:val="20"/>
                <w:lang w:eastAsia="tr-TR"/>
              </w:rPr>
            </w:pPr>
            <w:r w:rsidRPr="006922F0">
              <w:rPr>
                <w:rFonts w:ascii="Times New Roman" w:eastAsia="Times New Roman" w:hAnsi="Times New Roman" w:cs="Times New Roman"/>
                <w:sz w:val="18"/>
                <w:szCs w:val="18"/>
                <w:lang w:eastAsia="tr-TR"/>
              </w:rPr>
              <w:t>10.02.2017</w:t>
            </w:r>
          </w:p>
        </w:tc>
      </w:tr>
    </w:tbl>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 </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1 -</w:t>
      </w:r>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 xml:space="preserve">2 - Katılımcılar ayrı </w:t>
      </w:r>
      <w:proofErr w:type="spellStart"/>
      <w:r w:rsidRPr="006922F0">
        <w:rPr>
          <w:rFonts w:ascii="Times New Roman" w:eastAsia="Times New Roman" w:hAnsi="Times New Roman" w:cs="Times New Roman"/>
          <w:color w:val="000000"/>
          <w:sz w:val="18"/>
          <w:szCs w:val="18"/>
          <w:lang w:eastAsia="tr-TR"/>
        </w:rPr>
        <w:t>ayrı</w:t>
      </w:r>
      <w:proofErr w:type="spellEnd"/>
      <w:r w:rsidRPr="006922F0">
        <w:rPr>
          <w:rFonts w:ascii="Times New Roman" w:eastAsia="Times New Roman" w:hAnsi="Times New Roman" w:cs="Times New Roman"/>
          <w:color w:val="000000"/>
          <w:sz w:val="18"/>
          <w:szCs w:val="18"/>
          <w:lang w:eastAsia="tr-TR"/>
        </w:rPr>
        <w:t xml:space="preserve"> olmak koşuluyla, birden fazla ihaleye teklif verebilirler.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3 -</w:t>
      </w:r>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İhalelere gerçek veya tüzel kişiler ile ortak girişim grupları katılabilirler. Teklif</w:t>
      </w:r>
      <w:r w:rsidRPr="006922F0">
        <w:rPr>
          <w:rFonts w:ascii="Times New Roman" w:eastAsia="Times New Roman" w:hAnsi="Times New Roman" w:cs="Times New Roman"/>
          <w:color w:val="000000"/>
          <w:sz w:val="18"/>
          <w:lang w:eastAsia="tr-TR"/>
        </w:rPr>
        <w:t> Sahipleri’nden </w:t>
      </w:r>
      <w:r w:rsidRPr="006922F0">
        <w:rPr>
          <w:rFonts w:ascii="Times New Roman" w:eastAsia="Times New Roman" w:hAnsi="Times New Roman" w:cs="Times New Roman"/>
          <w:color w:val="000000"/>
          <w:sz w:val="18"/>
          <w:szCs w:val="18"/>
          <w:lang w:eastAsia="tr-TR"/>
        </w:rPr>
        <w:t>ihalelere katılabilmek için yukarıdaki tabloda belirtilen tutarda geçici teminat alınacaktır.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4 -</w:t>
      </w:r>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İhalelere katılabilmek için her bir taşınmaz için ayrı İhale Dokümanı alınması ve tekliflerin İdare’nin; Ziya Gökalp Caddesi No:80 Kurtuluş/ANKARA adresine son teklif verme günü saat</w:t>
      </w:r>
      <w:r w:rsidRPr="006922F0">
        <w:rPr>
          <w:rFonts w:ascii="Times New Roman" w:eastAsia="Times New Roman" w:hAnsi="Times New Roman" w:cs="Times New Roman"/>
          <w:color w:val="000000"/>
          <w:sz w:val="18"/>
          <w:lang w:eastAsia="tr-TR"/>
        </w:rPr>
        <w:t> </w:t>
      </w:r>
      <w:proofErr w:type="gramStart"/>
      <w:r w:rsidRPr="006922F0">
        <w:rPr>
          <w:rFonts w:ascii="Times New Roman" w:eastAsia="Times New Roman" w:hAnsi="Times New Roman" w:cs="Times New Roman"/>
          <w:color w:val="000000"/>
          <w:sz w:val="18"/>
          <w:lang w:eastAsia="tr-TR"/>
        </w:rPr>
        <w:t>17:00’ye</w:t>
      </w:r>
      <w:proofErr w:type="gramEnd"/>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kadar elden teslim edilmesi zorunludur. Son teklif verme tarih ve saatinden sonra İdare’ye verilecek teklifler değerlendirmeye alınmayacaktır. İhale Şartnamesi ve Tanıtım Dokümanı için alınan bedel her ne surette olursa olsun iade edilmez.</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5 - İhalelere konu taşınmazlar hakkında hazırlanan İhale Şartnamesi ve Tanıtım Dokümanı bedelleri İdare’nin;</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w:t>
      </w:r>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T. Halk Bankası A.Ş. Kurumsal Şubesi/ANKARA nezdinde bulunan TR250001200945200083000006 numaralı Özelleştirme Fonu Vadesiz Satış ve Temettü Gelirleri Türk Lirası,</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w:t>
      </w:r>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T.C. Ziraat Bankası A.Ş. Kamu Kurumsal Şubesi/ANKARA nezdinde bulunan TR400001001745387756615738 numaralı Özelleştirme Fonu Vadesiz Türk Lirası,</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w:t>
      </w:r>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T.C. Vakıflar Bankası T.A.O. Merkez Şubesi/ANKARA nezdinde bulunan TR220001500158007287550667 numaralı Özelleştirme Fonu Vadesiz Türk Lirası</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922F0">
        <w:rPr>
          <w:rFonts w:ascii="Times New Roman" w:eastAsia="Times New Roman" w:hAnsi="Times New Roman" w:cs="Times New Roman"/>
          <w:color w:val="000000"/>
          <w:sz w:val="18"/>
          <w:lang w:eastAsia="tr-TR"/>
        </w:rPr>
        <w:t>hesaplarından</w:t>
      </w:r>
      <w:proofErr w:type="gramEnd"/>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6922F0">
        <w:rPr>
          <w:rFonts w:ascii="Times New Roman" w:eastAsia="Times New Roman" w:hAnsi="Times New Roman" w:cs="Times New Roman"/>
          <w:color w:val="000000"/>
          <w:sz w:val="18"/>
          <w:lang w:eastAsia="tr-TR"/>
        </w:rPr>
        <w:t> </w:t>
      </w:r>
      <w:proofErr w:type="spellStart"/>
      <w:r w:rsidRPr="006922F0">
        <w:rPr>
          <w:rFonts w:ascii="Times New Roman" w:eastAsia="Times New Roman" w:hAnsi="Times New Roman" w:cs="Times New Roman"/>
          <w:color w:val="000000"/>
          <w:sz w:val="18"/>
          <w:lang w:eastAsia="tr-TR"/>
        </w:rPr>
        <w:t>OGG’nin</w:t>
      </w:r>
      <w:proofErr w:type="spellEnd"/>
      <w:r w:rsidRPr="006922F0">
        <w:rPr>
          <w:rFonts w:ascii="Times New Roman" w:eastAsia="Times New Roman" w:hAnsi="Times New Roman" w:cs="Times New Roman"/>
          <w:color w:val="000000"/>
          <w:sz w:val="18"/>
          <w:lang w:eastAsia="tr-TR"/>
        </w:rPr>
        <w:t> </w:t>
      </w:r>
      <w:r w:rsidRPr="006922F0">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6 - İhaleler, 2886 sayılı Devlet İhale Kanunu’na tabi olmayıp İdare, ihaleleri yapıp yapmamakta, dilediğine yapmakta serbesttir.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tarihinin sona ermesinden önce duyurulacaktır.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7 - İhalelerle ilgili diğer hususlar İhale Şartnamelerinde yer almaktadır.</w:t>
      </w:r>
    </w:p>
    <w:p w:rsidR="006922F0" w:rsidRPr="006922F0" w:rsidRDefault="006922F0" w:rsidP="006922F0">
      <w:pPr>
        <w:spacing w:after="0" w:line="240" w:lineRule="atLeast"/>
        <w:ind w:firstLine="567"/>
        <w:jc w:val="both"/>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8 - Özelleştirme işlemleri; her türlü resim, vergi, harç ve KDV’den muaftır.</w:t>
      </w:r>
    </w:p>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lastRenderedPageBreak/>
        <w:t>T.C. Başbakanlık</w:t>
      </w:r>
    </w:p>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Özelleştirme İdaresi Başkanlığı</w:t>
      </w:r>
    </w:p>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Ziya Gökalp Caddesi, No:80, Kurtuluş, 06600 ANKARA</w:t>
      </w:r>
    </w:p>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Ayrıntılı bilgi için irtibat</w:t>
      </w:r>
    </w:p>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Tel: (312) 585 82 70 Faks: (312) 585 83 54</w:t>
      </w:r>
    </w:p>
    <w:p w:rsidR="006922F0" w:rsidRPr="006922F0" w:rsidRDefault="006922F0" w:rsidP="006922F0">
      <w:pPr>
        <w:spacing w:after="0" w:line="240" w:lineRule="atLeast"/>
        <w:jc w:val="center"/>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İnternet Adresi: www.</w:t>
      </w:r>
      <w:proofErr w:type="spellStart"/>
      <w:r w:rsidRPr="006922F0">
        <w:rPr>
          <w:rFonts w:ascii="Times New Roman" w:eastAsia="Times New Roman" w:hAnsi="Times New Roman" w:cs="Times New Roman"/>
          <w:color w:val="000000"/>
          <w:sz w:val="18"/>
          <w:szCs w:val="18"/>
          <w:lang w:eastAsia="tr-TR"/>
        </w:rPr>
        <w:t>oib</w:t>
      </w:r>
      <w:proofErr w:type="spellEnd"/>
      <w:r w:rsidRPr="006922F0">
        <w:rPr>
          <w:rFonts w:ascii="Times New Roman" w:eastAsia="Times New Roman" w:hAnsi="Times New Roman" w:cs="Times New Roman"/>
          <w:color w:val="000000"/>
          <w:sz w:val="18"/>
          <w:szCs w:val="18"/>
          <w:lang w:eastAsia="tr-TR"/>
        </w:rPr>
        <w:t>.gov.tr</w:t>
      </w:r>
    </w:p>
    <w:p w:rsidR="006922F0" w:rsidRPr="006922F0" w:rsidRDefault="006922F0" w:rsidP="006922F0">
      <w:pPr>
        <w:spacing w:after="0" w:line="240" w:lineRule="atLeast"/>
        <w:ind w:firstLine="567"/>
        <w:jc w:val="right"/>
        <w:rPr>
          <w:rFonts w:ascii="Times New Roman" w:eastAsia="Times New Roman" w:hAnsi="Times New Roman" w:cs="Times New Roman"/>
          <w:color w:val="000000"/>
          <w:sz w:val="20"/>
          <w:szCs w:val="20"/>
          <w:lang w:eastAsia="tr-TR"/>
        </w:rPr>
      </w:pPr>
      <w:r w:rsidRPr="006922F0">
        <w:rPr>
          <w:rFonts w:ascii="Times New Roman" w:eastAsia="Times New Roman" w:hAnsi="Times New Roman" w:cs="Times New Roman"/>
          <w:color w:val="000000"/>
          <w:sz w:val="18"/>
          <w:szCs w:val="18"/>
          <w:lang w:eastAsia="tr-TR"/>
        </w:rPr>
        <w:t>119/1-1</w:t>
      </w:r>
    </w:p>
    <w:p w:rsidR="006922F0" w:rsidRPr="006922F0" w:rsidRDefault="006922F0" w:rsidP="006922F0">
      <w:pPr>
        <w:spacing w:after="0" w:line="240" w:lineRule="atLeast"/>
        <w:rPr>
          <w:rFonts w:ascii="Times New Roman" w:eastAsia="Times New Roman" w:hAnsi="Times New Roman" w:cs="Times New Roman"/>
          <w:color w:val="000000"/>
          <w:sz w:val="27"/>
          <w:szCs w:val="27"/>
          <w:lang w:eastAsia="tr-TR"/>
        </w:rPr>
      </w:pPr>
      <w:hyperlink r:id="rId4" w:anchor="_top" w:history="1">
        <w:r w:rsidRPr="006922F0">
          <w:rPr>
            <w:rFonts w:ascii="Arial" w:eastAsia="Times New Roman" w:hAnsi="Arial" w:cs="Arial"/>
            <w:color w:val="800080"/>
            <w:sz w:val="28"/>
            <w:lang w:val="en-US" w:eastAsia="tr-TR"/>
          </w:rPr>
          <w:t>▲</w:t>
        </w:r>
      </w:hyperlink>
    </w:p>
    <w:p w:rsidR="003A524B" w:rsidRDefault="003A524B"/>
    <w:sectPr w:rsidR="003A524B" w:rsidSect="006922F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922F0"/>
    <w:rsid w:val="003A524B"/>
    <w:rsid w:val="006922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922F0"/>
  </w:style>
  <w:style w:type="character" w:customStyle="1" w:styleId="spelle">
    <w:name w:val="spelle"/>
    <w:basedOn w:val="VarsaylanParagrafYazTipi"/>
    <w:rsid w:val="006922F0"/>
  </w:style>
  <w:style w:type="character" w:customStyle="1" w:styleId="grame">
    <w:name w:val="grame"/>
    <w:basedOn w:val="VarsaylanParagrafYazTipi"/>
    <w:rsid w:val="006922F0"/>
  </w:style>
  <w:style w:type="paragraph" w:styleId="NormalWeb">
    <w:name w:val="Normal (Web)"/>
    <w:basedOn w:val="Normal"/>
    <w:uiPriority w:val="99"/>
    <w:semiHidden/>
    <w:unhideWhenUsed/>
    <w:rsid w:val="006922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922F0"/>
  </w:style>
</w:styles>
</file>

<file path=word/webSettings.xml><?xml version="1.0" encoding="utf-8"?>
<w:webSettings xmlns:r="http://schemas.openxmlformats.org/officeDocument/2006/relationships" xmlns:w="http://schemas.openxmlformats.org/wordprocessingml/2006/main">
  <w:divs>
    <w:div w:id="13963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0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2017-01-05T06:54:00Z</dcterms:created>
  <dcterms:modified xsi:type="dcterms:W3CDTF">2017-01-05T06:55:00Z</dcterms:modified>
</cp:coreProperties>
</file>