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03" w:rsidRPr="00BD7C03" w:rsidRDefault="00BD7C03" w:rsidP="00BD7C03">
      <w:pPr>
        <w:spacing w:after="0" w:line="240" w:lineRule="atLeast"/>
        <w:ind w:firstLine="142"/>
        <w:jc w:val="center"/>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TAŞINMAZLAR SATILACAKTIR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b/>
          <w:bCs/>
          <w:color w:val="0000FF"/>
          <w:sz w:val="18"/>
          <w:szCs w:val="18"/>
          <w:lang w:eastAsia="tr-TR"/>
        </w:rPr>
        <w:t>Denizli Büyükşehir Belediye Başkanlığından:</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Mülkiyeti Denizli Büyükşehir Belediyesine ait, aşağıda tapu kaydı yazılı taşınmazlar 2886 Sayılı Yasanın 35(a) maddesi uyarınca kapalı teklif suretiyle satılacaktır. İhale konusu taşınmazlar ile ilgili bilgi, muhammen bedeli ve geçici teminatı aşağıda belirtilmiş olup, ihalesi hizasında belirtilen tarih ve saatte Denizli Büyükşehir Belediyesi Encümen Salonunda yapılacaktır. Şartnamesi mesai saatleri</w:t>
      </w:r>
      <w:r w:rsidRPr="00BD7C03">
        <w:rPr>
          <w:rFonts w:ascii="Times New Roman" w:eastAsia="Times New Roman" w:hAnsi="Times New Roman" w:cs="Times New Roman"/>
          <w:color w:val="000000"/>
          <w:sz w:val="18"/>
          <w:lang w:eastAsia="tr-TR"/>
        </w:rPr>
        <w:t> </w:t>
      </w:r>
      <w:proofErr w:type="gramStart"/>
      <w:r w:rsidRPr="00BD7C03">
        <w:rPr>
          <w:rFonts w:ascii="Times New Roman" w:eastAsia="Times New Roman" w:hAnsi="Times New Roman" w:cs="Times New Roman"/>
          <w:color w:val="000000"/>
          <w:sz w:val="18"/>
          <w:lang w:eastAsia="tr-TR"/>
        </w:rPr>
        <w:t>dahilinde</w:t>
      </w:r>
      <w:proofErr w:type="gramEnd"/>
      <w:r w:rsidRPr="00BD7C03">
        <w:rPr>
          <w:rFonts w:ascii="Times New Roman" w:eastAsia="Times New Roman" w:hAnsi="Times New Roman" w:cs="Times New Roman"/>
          <w:color w:val="000000"/>
          <w:sz w:val="18"/>
          <w:lang w:eastAsia="tr-TR"/>
        </w:rPr>
        <w:t> </w:t>
      </w:r>
      <w:r w:rsidRPr="00BD7C03">
        <w:rPr>
          <w:rFonts w:ascii="Times New Roman" w:eastAsia="Times New Roman" w:hAnsi="Times New Roman" w:cs="Times New Roman"/>
          <w:color w:val="000000"/>
          <w:sz w:val="18"/>
          <w:szCs w:val="18"/>
          <w:lang w:eastAsia="tr-TR"/>
        </w:rPr>
        <w:t>Belediye Hizmet Binası, beşinci kat Emlak ve İstimlak Dairesi Başkanlığı Taşınmaz Mallar Şube Müdürlüğünden ücretsiz olarak temin edilebilir.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 </w:t>
      </w:r>
    </w:p>
    <w:tbl>
      <w:tblPr>
        <w:tblW w:w="14175" w:type="dxa"/>
        <w:tblCellMar>
          <w:left w:w="0" w:type="dxa"/>
          <w:right w:w="0" w:type="dxa"/>
        </w:tblCellMar>
        <w:tblLook w:val="04A0"/>
      </w:tblPr>
      <w:tblGrid>
        <w:gridCol w:w="843"/>
        <w:gridCol w:w="1276"/>
        <w:gridCol w:w="1134"/>
        <w:gridCol w:w="708"/>
        <w:gridCol w:w="851"/>
        <w:gridCol w:w="1276"/>
        <w:gridCol w:w="1842"/>
        <w:gridCol w:w="2977"/>
        <w:gridCol w:w="1559"/>
        <w:gridCol w:w="1709"/>
      </w:tblGrid>
      <w:tr w:rsidR="00BD7C03" w:rsidRPr="00BD7C03" w:rsidTr="00BD7C03">
        <w:trPr>
          <w:trHeight w:val="20"/>
        </w:trPr>
        <w:tc>
          <w:tcPr>
            <w:tcW w:w="8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Sıra No</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İlçe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Mahalle</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Ada</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Alan</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Muhammen Bedel</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Geçici Teminat</w:t>
            </w:r>
          </w:p>
        </w:tc>
        <w:tc>
          <w:tcPr>
            <w:tcW w:w="1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İhale Gün ve Saat</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Çakmak</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7824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8.464,19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19.044.427,50.-TL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Ticaret Konut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571.332,825.-TL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-14:00</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Çakmak</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7822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12.601,00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25.202.000,00.-TL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Gelişme Konut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1.512.120,00.-TL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-14:15</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Çakmak</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7821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2.086,00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12.516.000,00.-TL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Akaryakıt ve Servis İstasyonu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375.480,00.-TL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-14:30</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Bereketler</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7959</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9.779,00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19.558.000,00.-TL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Özel Sağlık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586.740,00.-TL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-14:45</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Bereketler</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7825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5.866,00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11.732.000,00.-TL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Gelişme Konut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351.960,00.-TL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-15:00</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Sırakapılar</w:t>
            </w:r>
            <w:proofErr w:type="spellEnd"/>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7958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3.617,00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9.946.750,00.-TL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Ticaret Konut Alanı.</w:t>
            </w:r>
            <w:proofErr w:type="gramEnd"/>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298.402,50.-TL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-15:15</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Merkezefendi</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Kayaköy</w:t>
            </w:r>
            <w:proofErr w:type="spellEnd"/>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942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5.896,00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2.358.400,00.-TL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Sanayi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70.752,00.-TL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-15:30</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Pamukkale</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İstiklal</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7829</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11.471,00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45.884.000,00.-TL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Turizm-Ticaret-Konut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1.376.520,00.-TL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-15:45</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Pamukkale</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Kınıklı</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7969</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1.313,00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19.695.000,00.-TL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Ticaret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590.950,00.-TL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-16:00</w:t>
            </w:r>
          </w:p>
        </w:tc>
      </w:tr>
      <w:tr w:rsidR="00BD7C03" w:rsidRPr="00BD7C03" w:rsidTr="00BD7C03">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Pamukkale</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spellStart"/>
            <w:r w:rsidRPr="00BD7C03">
              <w:rPr>
                <w:rFonts w:ascii="Times New Roman" w:eastAsia="Times New Roman" w:hAnsi="Times New Roman" w:cs="Times New Roman"/>
                <w:color w:val="000000"/>
                <w:sz w:val="18"/>
                <w:lang w:eastAsia="tr-TR"/>
              </w:rPr>
              <w:t>Bağbaşı</w:t>
            </w:r>
            <w:proofErr w:type="spellEnd"/>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458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8.561,94 m²</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12.842.910,00.-TL</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both"/>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Ticaret Konut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ind w:right="57"/>
              <w:jc w:val="right"/>
              <w:rPr>
                <w:rFonts w:ascii="Times New Roman" w:eastAsia="Times New Roman" w:hAnsi="Times New Roman" w:cs="Times New Roman"/>
                <w:sz w:val="20"/>
                <w:szCs w:val="20"/>
                <w:lang w:eastAsia="tr-TR"/>
              </w:rPr>
            </w:pPr>
            <w:r w:rsidRPr="00BD7C03">
              <w:rPr>
                <w:rFonts w:ascii="Times New Roman" w:eastAsia="Times New Roman" w:hAnsi="Times New Roman" w:cs="Times New Roman"/>
                <w:color w:val="000000"/>
                <w:sz w:val="18"/>
                <w:szCs w:val="18"/>
                <w:lang w:eastAsia="tr-TR"/>
              </w:rPr>
              <w:t>385.287,30.-TL</w:t>
            </w:r>
          </w:p>
        </w:tc>
        <w:tc>
          <w:tcPr>
            <w:tcW w:w="1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D7C03" w:rsidRPr="00BD7C03" w:rsidRDefault="00BD7C03" w:rsidP="00BD7C03">
            <w:pPr>
              <w:spacing w:after="0" w:line="20" w:lineRule="atLeast"/>
              <w:jc w:val="center"/>
              <w:rPr>
                <w:rFonts w:ascii="Times New Roman" w:eastAsia="Times New Roman" w:hAnsi="Times New Roman" w:cs="Times New Roman"/>
                <w:sz w:val="20"/>
                <w:szCs w:val="20"/>
                <w:lang w:eastAsia="tr-TR"/>
              </w:rPr>
            </w:pPr>
            <w:proofErr w:type="gramStart"/>
            <w:r w:rsidRPr="00BD7C03">
              <w:rPr>
                <w:rFonts w:ascii="Times New Roman" w:eastAsia="Times New Roman" w:hAnsi="Times New Roman" w:cs="Times New Roman"/>
                <w:color w:val="000000"/>
                <w:sz w:val="18"/>
                <w:lang w:eastAsia="tr-TR"/>
              </w:rPr>
              <w:t>08/02/2017</w:t>
            </w:r>
            <w:proofErr w:type="gramEnd"/>
            <w:r w:rsidRPr="00BD7C03">
              <w:rPr>
                <w:rFonts w:ascii="Times New Roman" w:eastAsia="Times New Roman" w:hAnsi="Times New Roman" w:cs="Times New Roman"/>
                <w:color w:val="000000"/>
                <w:sz w:val="18"/>
                <w:szCs w:val="18"/>
                <w:lang w:eastAsia="tr-TR"/>
              </w:rPr>
              <w:t>-16:15</w:t>
            </w:r>
          </w:p>
        </w:tc>
      </w:tr>
    </w:tbl>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 </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İhaleye katılım</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A) Gerçek Kişiler;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1 - Tebligat için, muhtarlıktan veya Nüfus ve Vatandaşlık Müdürlüklerinden tasdikli</w:t>
      </w:r>
      <w:r w:rsidRPr="00BD7C03">
        <w:rPr>
          <w:rFonts w:ascii="Times New Roman" w:eastAsia="Times New Roman" w:hAnsi="Times New Roman" w:cs="Times New Roman"/>
          <w:color w:val="000000"/>
          <w:sz w:val="18"/>
          <w:lang w:eastAsia="tr-TR"/>
        </w:rPr>
        <w:t> </w:t>
      </w:r>
      <w:proofErr w:type="gramStart"/>
      <w:r w:rsidRPr="00BD7C03">
        <w:rPr>
          <w:rFonts w:ascii="Times New Roman" w:eastAsia="Times New Roman" w:hAnsi="Times New Roman" w:cs="Times New Roman"/>
          <w:color w:val="000000"/>
          <w:sz w:val="18"/>
          <w:lang w:eastAsia="tr-TR"/>
        </w:rPr>
        <w:t>ikametgah</w:t>
      </w:r>
      <w:proofErr w:type="gramEnd"/>
      <w:r w:rsidRPr="00BD7C03">
        <w:rPr>
          <w:rFonts w:ascii="Times New Roman" w:eastAsia="Times New Roman" w:hAnsi="Times New Roman" w:cs="Times New Roman"/>
          <w:color w:val="000000"/>
          <w:sz w:val="18"/>
          <w:lang w:eastAsia="tr-TR"/>
        </w:rPr>
        <w:t> </w:t>
      </w:r>
      <w:r w:rsidRPr="00BD7C03">
        <w:rPr>
          <w:rFonts w:ascii="Times New Roman" w:eastAsia="Times New Roman" w:hAnsi="Times New Roman" w:cs="Times New Roman"/>
          <w:color w:val="000000"/>
          <w:sz w:val="18"/>
          <w:szCs w:val="18"/>
          <w:lang w:eastAsia="tr-TR"/>
        </w:rPr>
        <w:t>belgesi</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2 - T.C. kimlik numaralı nüfus cüzdanı sureti.</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3 - Noter tasdikli imza beyannamesi, temsil durumunda noter tasdikli</w:t>
      </w:r>
      <w:r w:rsidRPr="00BD7C03">
        <w:rPr>
          <w:rFonts w:ascii="Times New Roman" w:eastAsia="Times New Roman" w:hAnsi="Times New Roman" w:cs="Times New Roman"/>
          <w:color w:val="000000"/>
          <w:sz w:val="18"/>
          <w:lang w:eastAsia="tr-TR"/>
        </w:rPr>
        <w:t> </w:t>
      </w:r>
      <w:proofErr w:type="gramStart"/>
      <w:r w:rsidRPr="00BD7C03">
        <w:rPr>
          <w:rFonts w:ascii="Times New Roman" w:eastAsia="Times New Roman" w:hAnsi="Times New Roman" w:cs="Times New Roman"/>
          <w:color w:val="000000"/>
          <w:sz w:val="18"/>
          <w:lang w:eastAsia="tr-TR"/>
        </w:rPr>
        <w:t>vekaletname</w:t>
      </w:r>
      <w:proofErr w:type="gramEnd"/>
      <w:r w:rsidRPr="00BD7C03">
        <w:rPr>
          <w:rFonts w:ascii="Times New Roman" w:eastAsia="Times New Roman" w:hAnsi="Times New Roman" w:cs="Times New Roman"/>
          <w:color w:val="000000"/>
          <w:sz w:val="18"/>
          <w:lang w:eastAsia="tr-TR"/>
        </w:rPr>
        <w:t> </w:t>
      </w:r>
      <w:r w:rsidRPr="00BD7C03">
        <w:rPr>
          <w:rFonts w:ascii="Times New Roman" w:eastAsia="Times New Roman" w:hAnsi="Times New Roman" w:cs="Times New Roman"/>
          <w:color w:val="000000"/>
          <w:sz w:val="18"/>
          <w:szCs w:val="18"/>
          <w:lang w:eastAsia="tr-TR"/>
        </w:rPr>
        <w:t>ve vekalet edene ait imza beyannamesi.</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4 - Geçici teminat mektubu veya alındı belgesi/makbuzu.</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5 - Şekli ve içeriği şartnamede belirlenen teklif mektubu,</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B) Tüzel Kişiler;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1 - Tebligat için adres beyanı.</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2 - Mevzuatı gereği tüzel kişiliğin siciline kayıtlı bulunduğu ticaret ve/veya sanayi odasından, ilk ilan veya ihale tarihinin içerisinde bulunduğu yılda alınmış, tüzel kişiliğin sicile kayıtlı olduğuna dair belge.</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3 -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4 - Temsil durumunda Noter tasdikli</w:t>
      </w:r>
      <w:r w:rsidRPr="00BD7C03">
        <w:rPr>
          <w:rFonts w:ascii="Times New Roman" w:eastAsia="Times New Roman" w:hAnsi="Times New Roman" w:cs="Times New Roman"/>
          <w:color w:val="000000"/>
          <w:sz w:val="18"/>
          <w:lang w:eastAsia="tr-TR"/>
        </w:rPr>
        <w:t> </w:t>
      </w:r>
      <w:proofErr w:type="gramStart"/>
      <w:r w:rsidRPr="00BD7C03">
        <w:rPr>
          <w:rFonts w:ascii="Times New Roman" w:eastAsia="Times New Roman" w:hAnsi="Times New Roman" w:cs="Times New Roman"/>
          <w:color w:val="000000"/>
          <w:sz w:val="18"/>
          <w:lang w:eastAsia="tr-TR"/>
        </w:rPr>
        <w:t>vekaletname</w:t>
      </w:r>
      <w:proofErr w:type="gramEnd"/>
      <w:r w:rsidRPr="00BD7C03">
        <w:rPr>
          <w:rFonts w:ascii="Times New Roman" w:eastAsia="Times New Roman" w:hAnsi="Times New Roman" w:cs="Times New Roman"/>
          <w:color w:val="000000"/>
          <w:sz w:val="18"/>
          <w:lang w:eastAsia="tr-TR"/>
        </w:rPr>
        <w:t> </w:t>
      </w:r>
      <w:r w:rsidRPr="00BD7C03">
        <w:rPr>
          <w:rFonts w:ascii="Times New Roman" w:eastAsia="Times New Roman" w:hAnsi="Times New Roman" w:cs="Times New Roman"/>
          <w:color w:val="000000"/>
          <w:sz w:val="18"/>
          <w:szCs w:val="18"/>
          <w:lang w:eastAsia="tr-TR"/>
        </w:rPr>
        <w:t>ve vekalet edene ait imza beyannamesi.</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5 - Geçici teminat mektubu veya alındı belgesi/makbuzu.</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6 - Şekli ve içeriği şartnamede belirlenen teklif mektubu,</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lang w:eastAsia="tr-TR"/>
        </w:rPr>
        <w:t xml:space="preserve">C) Ortak girişimler; Ortak girişimi oluşturan gerçek veya tüzel kişilerin her birinden (A) veya (B) maddelerindeki esaslara göre temin edecekleri belgeleri ve örneği şartname ekinde verilen iş ortaklığı beyannamesi ile belirtilen belgelerin asılları ile birlikte ihale gün ve saatinden önce Emlak ve </w:t>
      </w:r>
      <w:proofErr w:type="gramStart"/>
      <w:r w:rsidRPr="00BD7C03">
        <w:rPr>
          <w:rFonts w:ascii="Times New Roman" w:eastAsia="Times New Roman" w:hAnsi="Times New Roman" w:cs="Times New Roman"/>
          <w:color w:val="000000"/>
          <w:sz w:val="18"/>
          <w:lang w:eastAsia="tr-TR"/>
        </w:rPr>
        <w:t>İstimlak</w:t>
      </w:r>
      <w:proofErr w:type="gramEnd"/>
      <w:r w:rsidRPr="00BD7C03">
        <w:rPr>
          <w:rFonts w:ascii="Times New Roman" w:eastAsia="Times New Roman" w:hAnsi="Times New Roman" w:cs="Times New Roman"/>
          <w:color w:val="000000"/>
          <w:sz w:val="18"/>
          <w:lang w:eastAsia="tr-TR"/>
        </w:rPr>
        <w:t xml:space="preserve"> Dairesi Başkanlığı İdari İşler Şefliğinden sıra kayıt numarası alarak Büyükşehir Belediye Encümeni'ne müracaatları ile olacaktır.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lastRenderedPageBreak/>
        <w:t>Başvuru dosyası idareye verildikten sonra, son müracaat tarihinden önce dahi olsa; dosya içindeki herhangi bir evrakın değiştirilmesi veya eksik evrakın tamamlanması yönünde isteklilerce yapılacak müracaatlar kabul edilmeyecektir.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Bu işin ihalesine katılmak üzere kendi adına asaleten ve/veya başkaları adına</w:t>
      </w:r>
      <w:r w:rsidRPr="00BD7C03">
        <w:rPr>
          <w:rFonts w:ascii="Times New Roman" w:eastAsia="Times New Roman" w:hAnsi="Times New Roman" w:cs="Times New Roman"/>
          <w:color w:val="000000"/>
          <w:sz w:val="18"/>
          <w:lang w:eastAsia="tr-TR"/>
        </w:rPr>
        <w:t> </w:t>
      </w:r>
      <w:proofErr w:type="gramStart"/>
      <w:r w:rsidRPr="00BD7C03">
        <w:rPr>
          <w:rFonts w:ascii="Times New Roman" w:eastAsia="Times New Roman" w:hAnsi="Times New Roman" w:cs="Times New Roman"/>
          <w:color w:val="000000"/>
          <w:sz w:val="18"/>
          <w:lang w:eastAsia="tr-TR"/>
        </w:rPr>
        <w:t>vekaleten</w:t>
      </w:r>
      <w:proofErr w:type="gramEnd"/>
      <w:r w:rsidRPr="00BD7C03">
        <w:rPr>
          <w:rFonts w:ascii="Times New Roman" w:eastAsia="Times New Roman" w:hAnsi="Times New Roman" w:cs="Times New Roman"/>
          <w:color w:val="000000"/>
          <w:sz w:val="18"/>
          <w:lang w:eastAsia="tr-TR"/>
        </w:rPr>
        <w:t> </w:t>
      </w:r>
      <w:r w:rsidRPr="00BD7C03">
        <w:rPr>
          <w:rFonts w:ascii="Times New Roman" w:eastAsia="Times New Roman" w:hAnsi="Times New Roman" w:cs="Times New Roman"/>
          <w:color w:val="000000"/>
          <w:sz w:val="18"/>
          <w:szCs w:val="18"/>
          <w:lang w:eastAsia="tr-TR"/>
        </w:rPr>
        <w:t>sadece tek bir başvuruda bulunulabilecektir. Aksi halde yapılacak başvurular değerlendirmeye alınmayacaktır.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Bu duyuru kapsamında yapılacak satış işlemlerinde 2886 sayılı Devlet İhale Kanunu hükümleri uygulanır. İhale Komisyonu 2886 sayılı Kanun uyarınca ihaleyi yapıp yapmamakta serbesttir.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Telgraf veya faksla yapılacak müracaatlar ve/veya postada meydana gelebilecek gecikmeler kabul edilmeyecektir.</w:t>
      </w:r>
    </w:p>
    <w:p w:rsidR="00BD7C03" w:rsidRPr="00BD7C03" w:rsidRDefault="00BD7C03" w:rsidP="00BD7C03">
      <w:pPr>
        <w:spacing w:after="0" w:line="240" w:lineRule="atLeast"/>
        <w:ind w:firstLine="567"/>
        <w:jc w:val="both"/>
        <w:rPr>
          <w:rFonts w:ascii="Times New Roman" w:eastAsia="Times New Roman" w:hAnsi="Times New Roman" w:cs="Times New Roman"/>
          <w:color w:val="000000"/>
          <w:sz w:val="20"/>
          <w:szCs w:val="20"/>
          <w:lang w:eastAsia="tr-TR"/>
        </w:rPr>
      </w:pPr>
      <w:r w:rsidRPr="00BD7C03">
        <w:rPr>
          <w:rFonts w:ascii="Times New Roman" w:eastAsia="Times New Roman" w:hAnsi="Times New Roman" w:cs="Times New Roman"/>
          <w:color w:val="000000"/>
          <w:sz w:val="18"/>
          <w:szCs w:val="18"/>
          <w:lang w:eastAsia="tr-TR"/>
        </w:rPr>
        <w:t>İlan olunur.</w:t>
      </w:r>
    </w:p>
    <w:p w:rsidR="00BD4B19" w:rsidRDefault="00BD4B19"/>
    <w:sectPr w:rsidR="00BD4B19" w:rsidSect="00BD7C0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BD7C03"/>
    <w:rsid w:val="00BD4B19"/>
    <w:rsid w:val="00BD7C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D7C03"/>
  </w:style>
  <w:style w:type="character" w:customStyle="1" w:styleId="grame">
    <w:name w:val="grame"/>
    <w:basedOn w:val="VarsaylanParagrafYazTipi"/>
    <w:rsid w:val="00BD7C03"/>
  </w:style>
  <w:style w:type="character" w:customStyle="1" w:styleId="spelle">
    <w:name w:val="spelle"/>
    <w:basedOn w:val="VarsaylanParagrafYazTipi"/>
    <w:rsid w:val="00BD7C03"/>
  </w:style>
</w:styles>
</file>

<file path=word/webSettings.xml><?xml version="1.0" encoding="utf-8"?>
<w:webSettings xmlns:r="http://schemas.openxmlformats.org/officeDocument/2006/relationships" xmlns:w="http://schemas.openxmlformats.org/wordprocessingml/2006/main">
  <w:divs>
    <w:div w:id="147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2017-01-27T07:13:00Z</dcterms:created>
  <dcterms:modified xsi:type="dcterms:W3CDTF">2017-01-27T07:14:00Z</dcterms:modified>
</cp:coreProperties>
</file>