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TAŞINMAZ MAL SATILACAKTIR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Pendik Belediyesinden:</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250 (</w:t>
      </w:r>
      <w:proofErr w:type="spellStart"/>
      <w:r w:rsidRPr="004A6CE6">
        <w:rPr>
          <w:rFonts w:ascii="Times New Roman" w:hAnsi="Times New Roman" w:cs="Times New Roman"/>
          <w:sz w:val="24"/>
          <w:szCs w:val="24"/>
        </w:rPr>
        <w:t>ikiyüzelli</w:t>
      </w:r>
      <w:proofErr w:type="spellEnd"/>
      <w:r w:rsidRPr="004A6CE6">
        <w:rPr>
          <w:rFonts w:ascii="Times New Roman" w:hAnsi="Times New Roman" w:cs="Times New Roman"/>
          <w:sz w:val="24"/>
          <w:szCs w:val="24"/>
        </w:rPr>
        <w:t>) TL olup, Pendik Belediyesi İmar ve Şehircilik Müdürlüğü’nden (4. Kat) temin edilebilir.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 </w:t>
      </w:r>
    </w:p>
    <w:tbl>
      <w:tblPr>
        <w:tblW w:w="14175" w:type="dxa"/>
        <w:tblInd w:w="559" w:type="dxa"/>
        <w:tblCellMar>
          <w:left w:w="0" w:type="dxa"/>
          <w:right w:w="0" w:type="dxa"/>
        </w:tblCellMar>
        <w:tblLook w:val="04A0"/>
      </w:tblPr>
      <w:tblGrid>
        <w:gridCol w:w="1074"/>
        <w:gridCol w:w="620"/>
        <w:gridCol w:w="727"/>
        <w:gridCol w:w="980"/>
        <w:gridCol w:w="1020"/>
        <w:gridCol w:w="940"/>
        <w:gridCol w:w="4733"/>
        <w:gridCol w:w="3240"/>
        <w:gridCol w:w="1220"/>
      </w:tblGrid>
      <w:tr w:rsidR="005C28AA" w:rsidRPr="004A6CE6" w:rsidTr="004D1A0F">
        <w:trPr>
          <w:trHeight w:val="20"/>
        </w:trPr>
        <w:tc>
          <w:tcPr>
            <w:tcW w:w="11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Tapu Mahalle</w:t>
            </w:r>
          </w:p>
        </w:tc>
        <w:tc>
          <w:tcPr>
            <w:tcW w:w="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Ada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Parsel</w:t>
            </w:r>
          </w:p>
        </w:tc>
        <w:tc>
          <w:tcPr>
            <w:tcW w:w="14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Parsel Alanı (m²)</w:t>
            </w:r>
          </w:p>
        </w:tc>
        <w:tc>
          <w:tcPr>
            <w:tcW w:w="15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Satılacak Alan (m²)</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İmar Durumu</w:t>
            </w:r>
          </w:p>
        </w:tc>
        <w:tc>
          <w:tcPr>
            <w:tcW w:w="34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Muhammen Bedeli</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Geçici Teminat</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İhale Gün ve Saati</w:t>
            </w:r>
          </w:p>
        </w:tc>
      </w:tr>
      <w:tr w:rsidR="005C28AA" w:rsidRPr="004A6CE6" w:rsidTr="004D1A0F">
        <w:trPr>
          <w:trHeight w:val="20"/>
        </w:trPr>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proofErr w:type="spellStart"/>
            <w:r w:rsidRPr="004A6CE6">
              <w:rPr>
                <w:rFonts w:ascii="Times New Roman" w:hAnsi="Times New Roman" w:cs="Times New Roman"/>
                <w:sz w:val="24"/>
                <w:szCs w:val="24"/>
              </w:rPr>
              <w:t>Dolayoba</w:t>
            </w:r>
            <w:proofErr w:type="spellEnd"/>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8691</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25</w:t>
            </w:r>
          </w:p>
        </w:tc>
        <w:tc>
          <w:tcPr>
            <w:tcW w:w="14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1.237,12</w:t>
            </w:r>
          </w:p>
        </w:tc>
        <w:tc>
          <w:tcPr>
            <w:tcW w:w="1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1.237,12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Konut (K)</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2.164.960,00-(</w:t>
            </w:r>
            <w:proofErr w:type="spellStart"/>
            <w:r w:rsidRPr="004A6CE6">
              <w:rPr>
                <w:rFonts w:ascii="Times New Roman" w:hAnsi="Times New Roman" w:cs="Times New Roman"/>
                <w:sz w:val="24"/>
                <w:szCs w:val="24"/>
              </w:rPr>
              <w:t>ikimilyonyüzaltmışdörtbindokuzyüzaltmış</w:t>
            </w:r>
            <w:proofErr w:type="spellEnd"/>
            <w:r w:rsidRPr="004A6CE6">
              <w:rPr>
                <w:rFonts w:ascii="Times New Roman" w:hAnsi="Times New Roman" w:cs="Times New Roman"/>
                <w:sz w:val="24"/>
                <w:szCs w:val="24"/>
              </w:rPr>
              <w:t> TL)</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64.950,00-</w:t>
            </w:r>
          </w:p>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w:t>
            </w:r>
            <w:proofErr w:type="spellStart"/>
            <w:r w:rsidRPr="004A6CE6">
              <w:rPr>
                <w:rFonts w:ascii="Times New Roman" w:hAnsi="Times New Roman" w:cs="Times New Roman"/>
                <w:sz w:val="24"/>
                <w:szCs w:val="24"/>
              </w:rPr>
              <w:t>Altmışdörtbindokuzyüzelli</w:t>
            </w:r>
            <w:proofErr w:type="spellEnd"/>
            <w:r w:rsidRPr="004A6CE6">
              <w:rPr>
                <w:rFonts w:ascii="Times New Roman" w:hAnsi="Times New Roman" w:cs="Times New Roman"/>
                <w:sz w:val="24"/>
                <w:szCs w:val="24"/>
              </w:rPr>
              <w:t> TL)</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C28AA" w:rsidRPr="004A6CE6" w:rsidRDefault="005C28AA" w:rsidP="004D1A0F">
            <w:pPr>
              <w:spacing w:line="240" w:lineRule="auto"/>
              <w:rPr>
                <w:rFonts w:ascii="Times New Roman" w:hAnsi="Times New Roman" w:cs="Times New Roman"/>
                <w:sz w:val="24"/>
                <w:szCs w:val="24"/>
              </w:rPr>
            </w:pPr>
            <w:r w:rsidRPr="004A6CE6">
              <w:rPr>
                <w:rFonts w:ascii="Times New Roman" w:hAnsi="Times New Roman" w:cs="Times New Roman"/>
                <w:sz w:val="24"/>
                <w:szCs w:val="24"/>
              </w:rPr>
              <w:t>08.12.2016 Perşembe Saat:10.00</w:t>
            </w:r>
          </w:p>
        </w:tc>
      </w:tr>
    </w:tbl>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 </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MADDE 2 - Taşınmazın Özellikleri: Söz konusu taşınmaz imar planında (K) rumuzlu konut alanında kalmaktadır. </w:t>
      </w:r>
      <w:proofErr w:type="spellStart"/>
      <w:r w:rsidRPr="004A6CE6">
        <w:rPr>
          <w:rFonts w:ascii="Times New Roman" w:hAnsi="Times New Roman" w:cs="Times New Roman"/>
          <w:sz w:val="24"/>
          <w:szCs w:val="24"/>
        </w:rPr>
        <w:t>Taks</w:t>
      </w:r>
      <w:proofErr w:type="spellEnd"/>
      <w:r w:rsidRPr="004A6CE6">
        <w:rPr>
          <w:rFonts w:ascii="Times New Roman" w:hAnsi="Times New Roman" w:cs="Times New Roman"/>
          <w:sz w:val="24"/>
          <w:szCs w:val="24"/>
        </w:rPr>
        <w:t>: 0.40, Emsal: 1.75 ve </w:t>
      </w:r>
      <w:proofErr w:type="spellStart"/>
      <w:r w:rsidRPr="004A6CE6">
        <w:rPr>
          <w:rFonts w:ascii="Times New Roman" w:hAnsi="Times New Roman" w:cs="Times New Roman"/>
          <w:sz w:val="24"/>
          <w:szCs w:val="24"/>
        </w:rPr>
        <w:t>Maxh</w:t>
      </w:r>
      <w:proofErr w:type="spellEnd"/>
      <w:r w:rsidRPr="004A6CE6">
        <w:rPr>
          <w:rFonts w:ascii="Times New Roman" w:hAnsi="Times New Roman" w:cs="Times New Roman"/>
          <w:sz w:val="24"/>
          <w:szCs w:val="24"/>
        </w:rPr>
        <w:t>: Sabiha Gökçen Havaalanı </w:t>
      </w:r>
      <w:proofErr w:type="gramStart"/>
      <w:r w:rsidRPr="004A6CE6">
        <w:rPr>
          <w:rFonts w:ascii="Times New Roman" w:hAnsi="Times New Roman" w:cs="Times New Roman"/>
          <w:sz w:val="24"/>
          <w:szCs w:val="24"/>
        </w:rPr>
        <w:t>Mania</w:t>
      </w:r>
      <w:proofErr w:type="gramEnd"/>
      <w:r w:rsidRPr="004A6CE6">
        <w:rPr>
          <w:rFonts w:ascii="Times New Roman" w:hAnsi="Times New Roman" w:cs="Times New Roman"/>
          <w:sz w:val="24"/>
          <w:szCs w:val="24"/>
        </w:rPr>
        <w:t xml:space="preserve"> Planı Kriterlerini aşmamak kaydı ile 30.50 </w:t>
      </w:r>
      <w:proofErr w:type="spellStart"/>
      <w:r w:rsidRPr="004A6CE6">
        <w:rPr>
          <w:rFonts w:ascii="Times New Roman" w:hAnsi="Times New Roman" w:cs="Times New Roman"/>
          <w:sz w:val="24"/>
          <w:szCs w:val="24"/>
        </w:rPr>
        <w:t>m’dir</w:t>
      </w:r>
      <w:proofErr w:type="spellEnd"/>
      <w:r w:rsidRPr="004A6CE6">
        <w:rPr>
          <w:rFonts w:ascii="Times New Roman" w:hAnsi="Times New Roman" w:cs="Times New Roman"/>
          <w:sz w:val="24"/>
          <w:szCs w:val="24"/>
        </w:rPr>
        <w:t>.</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 14.09.2015 tarih 429 sayılı Pendik Belediye Başkanlığı Emri Doğrultusunda 6 kat üzeri yapılaşma için Mimari Estetik Komisyonu Uygun Görüşü alınacaktır.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3 - İdare, ihale gününe kadar, ilan edilen taşınmazın ihalesinden vazgeçme hak ve yetkisine sahiptir.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4 - İhaleye Katılacaklardan İstenilecek Belgeler: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İhalenin yapıldığı yıl içinde alınmış belgenin aslı veya noter tasdikli sureti olmak kaydıyla;</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A) GERÇEK KİŞİLERDEN:</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1- </w:t>
      </w:r>
      <w:proofErr w:type="gramStart"/>
      <w:r w:rsidRPr="004A6CE6">
        <w:rPr>
          <w:rFonts w:ascii="Times New Roman" w:hAnsi="Times New Roman" w:cs="Times New Roman"/>
          <w:sz w:val="24"/>
          <w:szCs w:val="24"/>
        </w:rPr>
        <w:t>İkametgah</w:t>
      </w:r>
      <w:proofErr w:type="gramEnd"/>
      <w:r w:rsidRPr="004A6CE6">
        <w:rPr>
          <w:rFonts w:ascii="Times New Roman" w:hAnsi="Times New Roman" w:cs="Times New Roman"/>
          <w:sz w:val="24"/>
          <w:szCs w:val="24"/>
        </w:rPr>
        <w:t> belgesi,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lastRenderedPageBreak/>
        <w:t>2- Nüfus cüzdan sureti,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3- Noter tasdikli imza beyannamesi,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4- Geçici teminat mektubu veya makbuzu, </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5- Temsil durumunda; noter tasdikli </w:t>
      </w:r>
      <w:proofErr w:type="gramStart"/>
      <w:r w:rsidRPr="004A6CE6">
        <w:rPr>
          <w:rFonts w:ascii="Times New Roman" w:hAnsi="Times New Roman" w:cs="Times New Roman"/>
          <w:sz w:val="24"/>
          <w:szCs w:val="24"/>
        </w:rPr>
        <w:t>vekaletname</w:t>
      </w:r>
      <w:proofErr w:type="gramEnd"/>
      <w:r w:rsidRPr="004A6CE6">
        <w:rPr>
          <w:rFonts w:ascii="Times New Roman" w:hAnsi="Times New Roman" w:cs="Times New Roman"/>
          <w:sz w:val="24"/>
          <w:szCs w:val="24"/>
        </w:rPr>
        <w:t> ve vekalet edene ait imza beyannamesi,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B) TÜZEL KİŞİLERDEN:</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1-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2- Şirketlerden; Noter tasdikli imza </w:t>
      </w:r>
      <w:proofErr w:type="spellStart"/>
      <w:r w:rsidRPr="004A6CE6">
        <w:rPr>
          <w:rFonts w:ascii="Times New Roman" w:hAnsi="Times New Roman" w:cs="Times New Roman"/>
          <w:sz w:val="24"/>
          <w:szCs w:val="24"/>
        </w:rPr>
        <w:t>sirküsü</w:t>
      </w:r>
      <w:proofErr w:type="spellEnd"/>
      <w:r w:rsidRPr="004A6CE6">
        <w:rPr>
          <w:rFonts w:ascii="Times New Roman" w:hAnsi="Times New Roman" w:cs="Times New Roman"/>
          <w:sz w:val="24"/>
          <w:szCs w:val="24"/>
        </w:rPr>
        <w:t>,</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3- Vakıflardan; ihaleye katılmak üzere yetkili organ tarafından alınmış kararın aslı veya noter tasdikli sureti ve ihaleye katılmak üzere yetkilendirilen kişinin noter tasdikli imza </w:t>
      </w:r>
      <w:proofErr w:type="spellStart"/>
      <w:r w:rsidRPr="004A6CE6">
        <w:rPr>
          <w:rFonts w:ascii="Times New Roman" w:hAnsi="Times New Roman" w:cs="Times New Roman"/>
          <w:sz w:val="24"/>
          <w:szCs w:val="24"/>
        </w:rPr>
        <w:t>sirküsü</w:t>
      </w:r>
      <w:proofErr w:type="spellEnd"/>
      <w:r w:rsidRPr="004A6CE6">
        <w:rPr>
          <w:rFonts w:ascii="Times New Roman" w:hAnsi="Times New Roman" w:cs="Times New Roman"/>
          <w:sz w:val="24"/>
          <w:szCs w:val="24"/>
        </w:rPr>
        <w:t>,</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4- Derneklerden; ihaleye katılmak üzere yetkilendirdiği kişiyi belirten karar defterinin ilgili sayfasının noter tasdikli sureti ve yetkilinin noter tasdikli imza beyannamesi,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5- Derneklerden; dernek tüzüğünün noter tasdikli sureti,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6- Geçici teminat mektubu veya makbuzu,</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7- Temsil durumunda; Noter tasdikli </w:t>
      </w:r>
      <w:proofErr w:type="gramStart"/>
      <w:r w:rsidRPr="004A6CE6">
        <w:rPr>
          <w:rFonts w:ascii="Times New Roman" w:hAnsi="Times New Roman" w:cs="Times New Roman"/>
          <w:sz w:val="24"/>
          <w:szCs w:val="24"/>
        </w:rPr>
        <w:t>vekaletname</w:t>
      </w:r>
      <w:proofErr w:type="gramEnd"/>
      <w:r w:rsidRPr="004A6CE6">
        <w:rPr>
          <w:rFonts w:ascii="Times New Roman" w:hAnsi="Times New Roman" w:cs="Times New Roman"/>
          <w:sz w:val="24"/>
          <w:szCs w:val="24"/>
        </w:rPr>
        <w:t> ve vekalet edene ait imza beyannamesi,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C) ORTAK GİRİŞİMLERDEN: </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1- Noter tasdikli Ortak Girişim Beyannamesi,</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2- Ortak girişimi oluşturan gerçek veya tüzel kişilerin her biri için, bu maddedeki (A) veya (B) bentlerinde belirtilen belgeler istenecektir.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5 - Geçici ve Kesin teminat olarak şunlar alınır: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a) Tedavüldeki Türk Parası</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lastRenderedPageBreak/>
        <w:t>b) Bankalar ve özel finans kurumlarının verecekleri süresiz teminat mektupları</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c) Hazine Müsteşarlığınca ihraç edilen Devlet iç borçlanma senetleri veya bu senetler yerine düzenlenen belgeler (Nominal bedele faiz </w:t>
      </w:r>
      <w:proofErr w:type="gramStart"/>
      <w:r w:rsidRPr="004A6CE6">
        <w:rPr>
          <w:rFonts w:ascii="Times New Roman" w:hAnsi="Times New Roman" w:cs="Times New Roman"/>
          <w:sz w:val="24"/>
          <w:szCs w:val="24"/>
        </w:rPr>
        <w:t>dahil</w:t>
      </w:r>
      <w:proofErr w:type="gramEnd"/>
      <w:r w:rsidRPr="004A6CE6">
        <w:rPr>
          <w:rFonts w:ascii="Times New Roman" w:hAnsi="Times New Roman" w:cs="Times New Roman"/>
          <w:sz w:val="24"/>
          <w:szCs w:val="24"/>
        </w:rPr>
        <w:t> edilerek ihraç edilmiş ise bu işlemlerde anaparaya tekabül eden satış değerleri esas alınır).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7 - Tekliflerin Verilmesi: Teklifler ilanda belirtilen ihale saatine kadar, ihaleyi yapacak olan komisyon başkanlığına teslim edilecektir. Teklifler iadeli taahhütlü olarak da gönderilebilir. Bu </w:t>
      </w:r>
      <w:proofErr w:type="gramStart"/>
      <w:r w:rsidRPr="004A6CE6">
        <w:rPr>
          <w:rFonts w:ascii="Times New Roman" w:hAnsi="Times New Roman" w:cs="Times New Roman"/>
          <w:sz w:val="24"/>
          <w:szCs w:val="24"/>
        </w:rPr>
        <w:t>taktirde</w:t>
      </w:r>
      <w:proofErr w:type="gramEnd"/>
      <w:r w:rsidRPr="004A6CE6">
        <w:rPr>
          <w:rFonts w:ascii="Times New Roman" w:hAnsi="Times New Roman" w:cs="Times New Roman"/>
          <w:sz w:val="24"/>
          <w:szCs w:val="24"/>
        </w:rPr>
        <w:t>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5C28AA" w:rsidRPr="004A6CE6" w:rsidRDefault="005C28AA" w:rsidP="005C28AA">
      <w:pPr>
        <w:spacing w:line="240" w:lineRule="auto"/>
        <w:rPr>
          <w:rFonts w:ascii="Times New Roman" w:hAnsi="Times New Roman" w:cs="Times New Roman"/>
          <w:sz w:val="24"/>
          <w:szCs w:val="24"/>
        </w:rPr>
      </w:pPr>
      <w:r w:rsidRPr="004A6CE6">
        <w:rPr>
          <w:rFonts w:ascii="Times New Roman" w:hAnsi="Times New Roman" w:cs="Times New Roman"/>
          <w:sz w:val="24"/>
          <w:szCs w:val="24"/>
        </w:rPr>
        <w:t>10223/1-1</w:t>
      </w:r>
    </w:p>
    <w:p w:rsidR="005A66E9" w:rsidRDefault="005A66E9"/>
    <w:sectPr w:rsidR="005A66E9" w:rsidSect="005C28A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5C28AA"/>
    <w:rsid w:val="00182611"/>
    <w:rsid w:val="00293AF4"/>
    <w:rsid w:val="003A7A7B"/>
    <w:rsid w:val="00455FAB"/>
    <w:rsid w:val="00462D7F"/>
    <w:rsid w:val="00472103"/>
    <w:rsid w:val="005A66E9"/>
    <w:rsid w:val="005C28AA"/>
    <w:rsid w:val="00640992"/>
    <w:rsid w:val="00824DE8"/>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2016-11-19T22:18:00Z</dcterms:created>
  <dcterms:modified xsi:type="dcterms:W3CDTF">2016-11-19T22:18:00Z</dcterms:modified>
</cp:coreProperties>
</file>