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F0" w:rsidRPr="003F7FF0" w:rsidRDefault="003F7FF0" w:rsidP="003F7FF0">
      <w:pPr>
        <w:spacing w:after="0" w:line="240" w:lineRule="atLeast"/>
        <w:jc w:val="center"/>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TAŞINMAZ SATILACAKTIR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b/>
          <w:bCs/>
          <w:color w:val="0000CC"/>
          <w:sz w:val="18"/>
          <w:szCs w:val="18"/>
          <w:lang w:eastAsia="tr-TR"/>
        </w:rPr>
        <w:t>Gemlik Belediye Başkanlığından:</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1 - Gemlik Belediyesi'ne ait olan ve aşağıda nitelikleri belirtilen taşınmaz (Zeytin İşleme ve Satış Binası) 2886 sayılı D.İ.K.'</w:t>
      </w:r>
      <w:proofErr w:type="spellStart"/>
      <w:r w:rsidRPr="003F7FF0">
        <w:rPr>
          <w:rFonts w:ascii="Times New Roman" w:eastAsia="Times New Roman" w:hAnsi="Times New Roman" w:cs="Times New Roman"/>
          <w:color w:val="000000"/>
          <w:sz w:val="18"/>
          <w:lang w:eastAsia="tr-TR"/>
        </w:rPr>
        <w:t>nun</w:t>
      </w:r>
      <w:proofErr w:type="spell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36. maddesi uyarınca Kapalı Teklif Usulü ile satışı yapılacaktır. İhale</w:t>
      </w:r>
      <w:r w:rsidRPr="003F7FF0">
        <w:rPr>
          <w:rFonts w:ascii="Times New Roman" w:eastAsia="Times New Roman" w:hAnsi="Times New Roman" w:cs="Times New Roman"/>
          <w:color w:val="000000"/>
          <w:sz w:val="18"/>
          <w:lang w:eastAsia="tr-TR"/>
        </w:rPr>
        <w:t> 25/10/2016</w:t>
      </w:r>
      <w:r w:rsidRPr="003F7FF0">
        <w:rPr>
          <w:rFonts w:ascii="Times New Roman" w:eastAsia="Times New Roman" w:hAnsi="Times New Roman" w:cs="Times New Roman"/>
          <w:color w:val="000000"/>
          <w:sz w:val="18"/>
          <w:szCs w:val="18"/>
          <w:lang w:eastAsia="tr-TR"/>
        </w:rPr>
        <w:t xml:space="preserve">Salı günü saat </w:t>
      </w:r>
      <w:proofErr w:type="gramStart"/>
      <w:r w:rsidRPr="003F7FF0">
        <w:rPr>
          <w:rFonts w:ascii="Times New Roman" w:eastAsia="Times New Roman" w:hAnsi="Times New Roman" w:cs="Times New Roman"/>
          <w:color w:val="000000"/>
          <w:sz w:val="18"/>
          <w:szCs w:val="18"/>
          <w:lang w:eastAsia="tr-TR"/>
        </w:rPr>
        <w:t>10:00'da</w:t>
      </w:r>
      <w:proofErr w:type="gramEnd"/>
      <w:r w:rsidRPr="003F7FF0">
        <w:rPr>
          <w:rFonts w:ascii="Times New Roman" w:eastAsia="Times New Roman" w:hAnsi="Times New Roman" w:cs="Times New Roman"/>
          <w:color w:val="000000"/>
          <w:sz w:val="18"/>
          <w:szCs w:val="18"/>
          <w:lang w:eastAsia="tr-TR"/>
        </w:rPr>
        <w:t xml:space="preserve"> </w:t>
      </w:r>
      <w:proofErr w:type="spellStart"/>
      <w:r w:rsidRPr="003F7FF0">
        <w:rPr>
          <w:rFonts w:ascii="Times New Roman" w:eastAsia="Times New Roman" w:hAnsi="Times New Roman" w:cs="Times New Roman"/>
          <w:color w:val="000000"/>
          <w:sz w:val="18"/>
          <w:szCs w:val="18"/>
          <w:lang w:eastAsia="tr-TR"/>
        </w:rPr>
        <w:t>Hamidiye</w:t>
      </w:r>
      <w:proofErr w:type="spellEnd"/>
      <w:r w:rsidRPr="003F7FF0">
        <w:rPr>
          <w:rFonts w:ascii="Times New Roman" w:eastAsia="Times New Roman" w:hAnsi="Times New Roman" w:cs="Times New Roman"/>
          <w:color w:val="000000"/>
          <w:sz w:val="18"/>
          <w:szCs w:val="18"/>
          <w:lang w:eastAsia="tr-TR"/>
        </w:rPr>
        <w:t xml:space="preserve"> Mahallesi, Irmak Sokak, Sosyal Yaşam Merkezi Binası No: 138 Gemlik adresindeki Gemlik Belediye Başkanlığı binasında Kent Konseyi Toplantı Salonunda Encümen tarafından yapılacaktır.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1597"/>
        <w:gridCol w:w="899"/>
        <w:gridCol w:w="1066"/>
        <w:gridCol w:w="2817"/>
        <w:gridCol w:w="2410"/>
        <w:gridCol w:w="1134"/>
        <w:gridCol w:w="1417"/>
      </w:tblGrid>
      <w:tr w:rsidR="003F7FF0" w:rsidRPr="003F7FF0" w:rsidTr="003F7FF0">
        <w:trPr>
          <w:trHeight w:val="53"/>
        </w:trPr>
        <w:tc>
          <w:tcPr>
            <w:tcW w:w="1597" w:type="dxa"/>
            <w:tcBorders>
              <w:top w:val="single" w:sz="8" w:space="0" w:color="auto"/>
              <w:left w:val="single" w:sz="8" w:space="0" w:color="auto"/>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Mahalle/</w:t>
            </w:r>
            <w:proofErr w:type="spellStart"/>
            <w:r w:rsidRPr="003F7FF0">
              <w:rPr>
                <w:rFonts w:ascii="Times New Roman" w:eastAsia="Times New Roman" w:hAnsi="Times New Roman" w:cs="Times New Roman"/>
                <w:sz w:val="18"/>
                <w:lang w:eastAsia="tr-TR"/>
              </w:rPr>
              <w:t>Sk</w:t>
            </w:r>
            <w:proofErr w:type="spellEnd"/>
            <w:r w:rsidRPr="003F7FF0">
              <w:rPr>
                <w:rFonts w:ascii="Times New Roman" w:eastAsia="Times New Roman" w:hAnsi="Times New Roman" w:cs="Times New Roman"/>
                <w:sz w:val="18"/>
                <w:szCs w:val="18"/>
                <w:lang w:eastAsia="tr-TR"/>
              </w:rPr>
              <w:t>.</w:t>
            </w:r>
          </w:p>
        </w:tc>
        <w:tc>
          <w:tcPr>
            <w:tcW w:w="899"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Ada</w:t>
            </w:r>
          </w:p>
        </w:tc>
        <w:tc>
          <w:tcPr>
            <w:tcW w:w="1066"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Parsel</w:t>
            </w:r>
          </w:p>
        </w:tc>
        <w:tc>
          <w:tcPr>
            <w:tcW w:w="2817"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proofErr w:type="gramStart"/>
            <w:r w:rsidRPr="003F7FF0">
              <w:rPr>
                <w:rFonts w:ascii="Times New Roman" w:eastAsia="Times New Roman" w:hAnsi="Times New Roman" w:cs="Times New Roman"/>
                <w:sz w:val="18"/>
                <w:lang w:eastAsia="tr-TR"/>
              </w:rPr>
              <w:t>m</w:t>
            </w:r>
            <w:proofErr w:type="gramEnd"/>
            <w:r w:rsidRPr="003F7FF0">
              <w:rPr>
                <w:rFonts w:ascii="Times New Roman" w:eastAsia="Times New Roman" w:hAnsi="Times New Roman" w:cs="Times New Roman"/>
                <w:sz w:val="18"/>
                <w:szCs w:val="18"/>
                <w:lang w:eastAsia="tr-TR"/>
              </w:rPr>
              <w:t>²</w:t>
            </w:r>
          </w:p>
        </w:tc>
        <w:tc>
          <w:tcPr>
            <w:tcW w:w="2410"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İmar Planı</w:t>
            </w:r>
          </w:p>
        </w:tc>
        <w:tc>
          <w:tcPr>
            <w:tcW w:w="1134"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Tahmini Bedel</w:t>
            </w:r>
          </w:p>
        </w:tc>
        <w:tc>
          <w:tcPr>
            <w:tcW w:w="1417" w:type="dxa"/>
            <w:tcBorders>
              <w:top w:val="single" w:sz="8" w:space="0" w:color="auto"/>
              <w:left w:val="nil"/>
              <w:bottom w:val="single" w:sz="8" w:space="0" w:color="auto"/>
              <w:right w:val="single" w:sz="8" w:space="0" w:color="auto"/>
            </w:tcBorders>
            <w:vAlign w:val="bottom"/>
            <w:hideMark/>
          </w:tcPr>
          <w:p w:rsidR="003F7FF0" w:rsidRPr="003F7FF0" w:rsidRDefault="003F7FF0" w:rsidP="003F7FF0">
            <w:pPr>
              <w:spacing w:after="0" w:line="53"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Geçici Tem.</w:t>
            </w:r>
          </w:p>
        </w:tc>
      </w:tr>
      <w:tr w:rsidR="003F7FF0" w:rsidRPr="003F7FF0" w:rsidTr="003F7FF0">
        <w:trPr>
          <w:trHeight w:val="50"/>
        </w:trPr>
        <w:tc>
          <w:tcPr>
            <w:tcW w:w="1597" w:type="dxa"/>
            <w:tcBorders>
              <w:top w:val="nil"/>
              <w:left w:val="single" w:sz="8" w:space="0" w:color="auto"/>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proofErr w:type="spellStart"/>
            <w:r w:rsidRPr="003F7FF0">
              <w:rPr>
                <w:rFonts w:ascii="Times New Roman" w:eastAsia="Times New Roman" w:hAnsi="Times New Roman" w:cs="Times New Roman"/>
                <w:sz w:val="18"/>
                <w:lang w:eastAsia="tr-TR"/>
              </w:rPr>
              <w:t>Umurbey</w:t>
            </w:r>
            <w:proofErr w:type="spellEnd"/>
            <w:r w:rsidRPr="003F7FF0">
              <w:rPr>
                <w:rFonts w:ascii="Times New Roman" w:eastAsia="Times New Roman" w:hAnsi="Times New Roman" w:cs="Times New Roman"/>
                <w:sz w:val="18"/>
                <w:lang w:eastAsia="tr-TR"/>
              </w:rPr>
              <w:t> </w:t>
            </w:r>
            <w:r w:rsidRPr="003F7FF0">
              <w:rPr>
                <w:rFonts w:ascii="Times New Roman" w:eastAsia="Times New Roman" w:hAnsi="Times New Roman" w:cs="Times New Roman"/>
                <w:sz w:val="18"/>
                <w:szCs w:val="18"/>
                <w:lang w:eastAsia="tr-TR"/>
              </w:rPr>
              <w:t>Mahallesi</w:t>
            </w:r>
          </w:p>
        </w:tc>
        <w:tc>
          <w:tcPr>
            <w:tcW w:w="899"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147</w:t>
            </w:r>
          </w:p>
        </w:tc>
        <w:tc>
          <w:tcPr>
            <w:tcW w:w="1066"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12</w:t>
            </w:r>
          </w:p>
        </w:tc>
        <w:tc>
          <w:tcPr>
            <w:tcW w:w="2817"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Tamamı 1808,81 m² (1211 m² bina)</w:t>
            </w:r>
          </w:p>
        </w:tc>
        <w:tc>
          <w:tcPr>
            <w:tcW w:w="2410"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Konut Dışı Kentsel Çalışma Alanı</w:t>
            </w:r>
          </w:p>
        </w:tc>
        <w:tc>
          <w:tcPr>
            <w:tcW w:w="1134"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2.100.000-TL</w:t>
            </w:r>
          </w:p>
        </w:tc>
        <w:tc>
          <w:tcPr>
            <w:tcW w:w="1417" w:type="dxa"/>
            <w:tcBorders>
              <w:top w:val="nil"/>
              <w:left w:val="nil"/>
              <w:bottom w:val="single" w:sz="8" w:space="0" w:color="auto"/>
              <w:right w:val="single" w:sz="8" w:space="0" w:color="auto"/>
            </w:tcBorders>
            <w:vAlign w:val="center"/>
            <w:hideMark/>
          </w:tcPr>
          <w:p w:rsidR="003F7FF0" w:rsidRPr="003F7FF0" w:rsidRDefault="003F7FF0" w:rsidP="003F7FF0">
            <w:pPr>
              <w:spacing w:after="0" w:line="50" w:lineRule="atLeast"/>
              <w:jc w:val="center"/>
              <w:textAlignment w:val="baseline"/>
              <w:rPr>
                <w:rFonts w:ascii="Times New Roman" w:eastAsia="Times New Roman" w:hAnsi="Times New Roman" w:cs="Times New Roman"/>
                <w:sz w:val="20"/>
                <w:szCs w:val="20"/>
                <w:lang w:eastAsia="tr-TR"/>
              </w:rPr>
            </w:pPr>
            <w:r w:rsidRPr="003F7FF0">
              <w:rPr>
                <w:rFonts w:ascii="Times New Roman" w:eastAsia="Times New Roman" w:hAnsi="Times New Roman" w:cs="Times New Roman"/>
                <w:sz w:val="18"/>
                <w:szCs w:val="18"/>
                <w:lang w:eastAsia="tr-TR"/>
              </w:rPr>
              <w:t>63.000-TL</w:t>
            </w:r>
          </w:p>
        </w:tc>
      </w:tr>
    </w:tbl>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 </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2 - İhaleye katılacaklardan aşağıdaki belgeler istenecektir;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a) Teklif Mektubu (Şartname eklerinde örneği mevcut)</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 xml:space="preserve">b) Taşınmazın satış şartnamesi (Şartnamenin her sayfası ayrı </w:t>
      </w:r>
      <w:proofErr w:type="spellStart"/>
      <w:r w:rsidRPr="003F7FF0">
        <w:rPr>
          <w:rFonts w:ascii="Times New Roman" w:eastAsia="Times New Roman" w:hAnsi="Times New Roman" w:cs="Times New Roman"/>
          <w:color w:val="000000"/>
          <w:sz w:val="18"/>
          <w:szCs w:val="18"/>
          <w:lang w:eastAsia="tr-TR"/>
        </w:rPr>
        <w:t>ayrı</w:t>
      </w:r>
      <w:proofErr w:type="spellEnd"/>
      <w:r w:rsidRPr="003F7FF0">
        <w:rPr>
          <w:rFonts w:ascii="Times New Roman" w:eastAsia="Times New Roman" w:hAnsi="Times New Roman" w:cs="Times New Roman"/>
          <w:color w:val="000000"/>
          <w:sz w:val="18"/>
          <w:szCs w:val="18"/>
          <w:lang w:eastAsia="tr-TR"/>
        </w:rPr>
        <w:t xml:space="preserve"> ihaleye iştirak eden tarafından imzalanmak zorundadır.)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c) Geçici teminat bedeli makbuzu veya Teminat Mektubu</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d) Gerçek kişiler için Nüfus cüzdanı sureti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e) Gerçek kişiler için</w:t>
      </w:r>
      <w:r w:rsidRPr="003F7FF0">
        <w:rPr>
          <w:rFonts w:ascii="Times New Roman" w:eastAsia="Times New Roman" w:hAnsi="Times New Roman" w:cs="Times New Roman"/>
          <w:color w:val="000000"/>
          <w:sz w:val="18"/>
          <w:lang w:eastAsia="tr-TR"/>
        </w:rPr>
        <w:t> </w:t>
      </w:r>
      <w:proofErr w:type="gramStart"/>
      <w:r w:rsidRPr="003F7FF0">
        <w:rPr>
          <w:rFonts w:ascii="Times New Roman" w:eastAsia="Times New Roman" w:hAnsi="Times New Roman" w:cs="Times New Roman"/>
          <w:color w:val="000000"/>
          <w:sz w:val="18"/>
          <w:lang w:eastAsia="tr-TR"/>
        </w:rPr>
        <w:t>İkametgah</w:t>
      </w:r>
      <w:proofErr w:type="gram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belgesi (Muhtarlık veya Nüfus Müdürlüğü)</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f) Tebligat için Türkiye'de adres göstermek</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g) İstekli adına</w:t>
      </w:r>
      <w:r w:rsidRPr="003F7FF0">
        <w:rPr>
          <w:rFonts w:ascii="Times New Roman" w:eastAsia="Times New Roman" w:hAnsi="Times New Roman" w:cs="Times New Roman"/>
          <w:color w:val="000000"/>
          <w:sz w:val="18"/>
          <w:lang w:eastAsia="tr-TR"/>
        </w:rPr>
        <w:t> </w:t>
      </w:r>
      <w:proofErr w:type="gramStart"/>
      <w:r w:rsidRPr="003F7FF0">
        <w:rPr>
          <w:rFonts w:ascii="Times New Roman" w:eastAsia="Times New Roman" w:hAnsi="Times New Roman" w:cs="Times New Roman"/>
          <w:color w:val="000000"/>
          <w:sz w:val="18"/>
          <w:lang w:eastAsia="tr-TR"/>
        </w:rPr>
        <w:t>vekaleten</w:t>
      </w:r>
      <w:proofErr w:type="gram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iştirak ediliyorsa, isteklinin adına teklif vermeye yetkili olduğuna dair noter tasdikli vekaletname ve imza örneği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F7FF0">
        <w:rPr>
          <w:rFonts w:ascii="Times New Roman" w:eastAsia="Times New Roman" w:hAnsi="Times New Roman" w:cs="Times New Roman"/>
          <w:color w:val="000000"/>
          <w:sz w:val="18"/>
          <w:lang w:eastAsia="tr-TR"/>
        </w:rPr>
        <w:t>h)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örneği</w:t>
      </w:r>
      <w:proofErr w:type="gramEnd"/>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i) Vakıflardan; ihaleye katılmak üzere yetkili organ tarafından alınmış kararın aslı veya noter tasdikli sureti ve ihaleye katılmak üzere yetkilendirilen kişinin noter tasdikli imza</w:t>
      </w:r>
      <w:r w:rsidRPr="003F7FF0">
        <w:rPr>
          <w:rFonts w:ascii="Times New Roman" w:eastAsia="Times New Roman" w:hAnsi="Times New Roman" w:cs="Times New Roman"/>
          <w:color w:val="000000"/>
          <w:sz w:val="18"/>
          <w:lang w:eastAsia="tr-TR"/>
        </w:rPr>
        <w:t> </w:t>
      </w:r>
      <w:proofErr w:type="spellStart"/>
      <w:r w:rsidRPr="003F7FF0">
        <w:rPr>
          <w:rFonts w:ascii="Times New Roman" w:eastAsia="Times New Roman" w:hAnsi="Times New Roman" w:cs="Times New Roman"/>
          <w:color w:val="000000"/>
          <w:sz w:val="18"/>
          <w:lang w:eastAsia="tr-TR"/>
        </w:rPr>
        <w:t>sirküsü</w:t>
      </w:r>
      <w:proofErr w:type="spellEnd"/>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j) Derneklerden; ihaleye katılmak üzere yetkilendirdiği kişiyi belirten karar defterinin ilgili sayfasının noter tasdikli sureti ve yetkilinin noter tasdikli imza beyannamesi, dernek tüzüğünün noter tasdikli sureti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k) Ortak girişim olması halinde şekli ve içeriği ilgili mevzuatlarca belirlenen noter tasdikli ortak girişim beyannamesi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l) İhale tarihinden en fazla 1 (bir) ay önce alınmış, SG. Kurumundan ve Vergi Dairesinden ilişkisiz veya borcunun bulunmadığına dair belge</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m) Şartname alındı makbuzu</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n) Belediyemize borcu olmadığına dair Belediyemizden alınmış borcu yoktur belgesi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o) Yer görme belgesi</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pacing w:val="-2"/>
          <w:sz w:val="18"/>
          <w:szCs w:val="18"/>
          <w:lang w:eastAsia="tr-TR"/>
        </w:rPr>
        <w:t>3 - Taşınmazın ihale bedeli peşin olarak ödenebileceği gibi 6 ay taksitli</w:t>
      </w:r>
      <w:r w:rsidRPr="003F7FF0">
        <w:rPr>
          <w:rFonts w:ascii="Times New Roman" w:eastAsia="Times New Roman" w:hAnsi="Times New Roman" w:cs="Times New Roman"/>
          <w:color w:val="000000"/>
          <w:spacing w:val="-2"/>
          <w:sz w:val="18"/>
          <w:lang w:eastAsia="tr-TR"/>
        </w:rPr>
        <w:t> </w:t>
      </w:r>
      <w:proofErr w:type="spellStart"/>
      <w:r w:rsidRPr="003F7FF0">
        <w:rPr>
          <w:rFonts w:ascii="Times New Roman" w:eastAsia="Times New Roman" w:hAnsi="Times New Roman" w:cs="Times New Roman"/>
          <w:color w:val="000000"/>
          <w:spacing w:val="-2"/>
          <w:sz w:val="18"/>
          <w:lang w:eastAsia="tr-TR"/>
        </w:rPr>
        <w:t>olarakta</w:t>
      </w:r>
      <w:proofErr w:type="spellEnd"/>
      <w:r w:rsidRPr="003F7FF0">
        <w:rPr>
          <w:rFonts w:ascii="Times New Roman" w:eastAsia="Times New Roman" w:hAnsi="Times New Roman" w:cs="Times New Roman"/>
          <w:color w:val="000000"/>
          <w:spacing w:val="-2"/>
          <w:sz w:val="18"/>
          <w:lang w:eastAsia="tr-TR"/>
        </w:rPr>
        <w:t> </w:t>
      </w:r>
      <w:r w:rsidRPr="003F7FF0">
        <w:rPr>
          <w:rFonts w:ascii="Times New Roman" w:eastAsia="Times New Roman" w:hAnsi="Times New Roman" w:cs="Times New Roman"/>
          <w:color w:val="000000"/>
          <w:spacing w:val="-2"/>
          <w:sz w:val="18"/>
          <w:szCs w:val="18"/>
          <w:lang w:eastAsia="tr-TR"/>
        </w:rPr>
        <w:t>ödenebilir.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4 - Tahmini bedel üzerinden % 3 Geçici Teminat alınır. İhale bedeli üzerinden % 6 Kesin Teminat alınır.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5 - İhale komisyonu gerekçesini kararda belirtmek suretiyle ihaleyi yapıp yapmamakta serbesttir.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6 - Taşınmaz ihalesine teklif vereceklerin şartnamede belirtilen maddelere uygun olarak hazırlayacakları ihale zarfını</w:t>
      </w:r>
      <w:r w:rsidRPr="003F7FF0">
        <w:rPr>
          <w:rFonts w:ascii="Times New Roman" w:eastAsia="Times New Roman" w:hAnsi="Times New Roman" w:cs="Times New Roman"/>
          <w:color w:val="000000"/>
          <w:sz w:val="18"/>
          <w:lang w:eastAsia="tr-TR"/>
        </w:rPr>
        <w:t> </w:t>
      </w:r>
      <w:proofErr w:type="gramStart"/>
      <w:r w:rsidRPr="003F7FF0">
        <w:rPr>
          <w:rFonts w:ascii="Times New Roman" w:eastAsia="Times New Roman" w:hAnsi="Times New Roman" w:cs="Times New Roman"/>
          <w:color w:val="000000"/>
          <w:sz w:val="18"/>
          <w:lang w:eastAsia="tr-TR"/>
        </w:rPr>
        <w:t>25/10/2016</w:t>
      </w:r>
      <w:proofErr w:type="gram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Salı günü saat 08:30’a kadar Destek Hizmetleri Müdürlüğü'ne alındı belgesi karşılığında teslim etmeleri zorunludur.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7 - İlgililer ihale şartnamesini mesai saatleri</w:t>
      </w:r>
      <w:r w:rsidRPr="003F7FF0">
        <w:rPr>
          <w:rFonts w:ascii="Times New Roman" w:eastAsia="Times New Roman" w:hAnsi="Times New Roman" w:cs="Times New Roman"/>
          <w:color w:val="000000"/>
          <w:sz w:val="18"/>
          <w:lang w:eastAsia="tr-TR"/>
        </w:rPr>
        <w:t> </w:t>
      </w:r>
      <w:proofErr w:type="gramStart"/>
      <w:r w:rsidRPr="003F7FF0">
        <w:rPr>
          <w:rFonts w:ascii="Times New Roman" w:eastAsia="Times New Roman" w:hAnsi="Times New Roman" w:cs="Times New Roman"/>
          <w:color w:val="000000"/>
          <w:sz w:val="18"/>
          <w:lang w:eastAsia="tr-TR"/>
        </w:rPr>
        <w:t>dahilinde</w:t>
      </w:r>
      <w:proofErr w:type="gram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Destek Hizmetleri Müdürlüğü’nde görebilecekleri gibi, aynı zamanda şartname bedeli olan 250-TL</w:t>
      </w:r>
      <w:r w:rsidRPr="003F7FF0">
        <w:rPr>
          <w:rFonts w:ascii="Times New Roman" w:eastAsia="Times New Roman" w:hAnsi="Times New Roman" w:cs="Times New Roman"/>
          <w:color w:val="000000"/>
          <w:sz w:val="18"/>
          <w:lang w:eastAsia="tr-TR"/>
        </w:rPr>
        <w:t> </w:t>
      </w:r>
      <w:proofErr w:type="spellStart"/>
      <w:r w:rsidRPr="003F7FF0">
        <w:rPr>
          <w:rFonts w:ascii="Times New Roman" w:eastAsia="Times New Roman" w:hAnsi="Times New Roman" w:cs="Times New Roman"/>
          <w:color w:val="000000"/>
          <w:sz w:val="18"/>
          <w:lang w:eastAsia="tr-TR"/>
        </w:rPr>
        <w:t>yi</w:t>
      </w:r>
      <w:proofErr w:type="spellEnd"/>
      <w:r w:rsidRPr="003F7FF0">
        <w:rPr>
          <w:rFonts w:ascii="Times New Roman" w:eastAsia="Times New Roman" w:hAnsi="Times New Roman" w:cs="Times New Roman"/>
          <w:color w:val="000000"/>
          <w:sz w:val="18"/>
          <w:lang w:eastAsia="tr-TR"/>
        </w:rPr>
        <w:t> </w:t>
      </w:r>
      <w:r w:rsidRPr="003F7FF0">
        <w:rPr>
          <w:rFonts w:ascii="Times New Roman" w:eastAsia="Times New Roman" w:hAnsi="Times New Roman" w:cs="Times New Roman"/>
          <w:color w:val="000000"/>
          <w:sz w:val="18"/>
          <w:szCs w:val="18"/>
          <w:lang w:eastAsia="tr-TR"/>
        </w:rPr>
        <w:t>Belediye veznelerine yatırarak alabileceklerdir.</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t>8 - İhale için verilen teklif mektupları verildikten sonra geri alınamaz.</w:t>
      </w:r>
    </w:p>
    <w:p w:rsidR="003F7FF0" w:rsidRPr="003F7FF0" w:rsidRDefault="003F7FF0" w:rsidP="003F7FF0">
      <w:pPr>
        <w:spacing w:after="0" w:line="240" w:lineRule="atLeast"/>
        <w:ind w:firstLine="567"/>
        <w:jc w:val="both"/>
        <w:rPr>
          <w:rFonts w:ascii="Times New Roman" w:eastAsia="Times New Roman" w:hAnsi="Times New Roman" w:cs="Times New Roman"/>
          <w:color w:val="000000"/>
          <w:sz w:val="20"/>
          <w:szCs w:val="20"/>
          <w:lang w:eastAsia="tr-TR"/>
        </w:rPr>
      </w:pPr>
      <w:r w:rsidRPr="003F7FF0">
        <w:rPr>
          <w:rFonts w:ascii="Times New Roman" w:eastAsia="Times New Roman" w:hAnsi="Times New Roman" w:cs="Times New Roman"/>
          <w:color w:val="000000"/>
          <w:sz w:val="18"/>
          <w:szCs w:val="18"/>
          <w:lang w:eastAsia="tr-TR"/>
        </w:rPr>
        <w:lastRenderedPageBreak/>
        <w:t>9 - İş bu ihale ilanı genel bilgi mahiyetinde olup, satışta ihale şartnamesi hükümleri uygulanacaktır.</w:t>
      </w:r>
    </w:p>
    <w:p w:rsidR="00BB1224" w:rsidRDefault="00BB1224"/>
    <w:sectPr w:rsidR="00BB1224" w:rsidSect="003F7FF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3F7FF0"/>
    <w:rsid w:val="003F7FF0"/>
    <w:rsid w:val="00BB12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22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F7FF0"/>
  </w:style>
  <w:style w:type="character" w:customStyle="1" w:styleId="apple-converted-space">
    <w:name w:val="apple-converted-space"/>
    <w:basedOn w:val="VarsaylanParagrafYazTipi"/>
    <w:rsid w:val="003F7FF0"/>
  </w:style>
  <w:style w:type="character" w:customStyle="1" w:styleId="grame">
    <w:name w:val="grame"/>
    <w:basedOn w:val="VarsaylanParagrafYazTipi"/>
    <w:rsid w:val="003F7FF0"/>
  </w:style>
</w:styles>
</file>

<file path=word/webSettings.xml><?xml version="1.0" encoding="utf-8"?>
<w:webSettings xmlns:r="http://schemas.openxmlformats.org/officeDocument/2006/relationships" xmlns:w="http://schemas.openxmlformats.org/wordprocessingml/2006/main">
  <w:divs>
    <w:div w:id="81468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2016-10-12T05:59:00Z</dcterms:created>
  <dcterms:modified xsi:type="dcterms:W3CDTF">2016-10-12T05:59:00Z</dcterms:modified>
</cp:coreProperties>
</file>