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6F" w:rsidRPr="00EE6160" w:rsidRDefault="0046556F" w:rsidP="0046556F">
      <w:pPr>
        <w:spacing w:line="240" w:lineRule="atLeast"/>
        <w:rPr>
          <w:rFonts w:ascii="Times New Roman" w:hAnsi="Times New Roman" w:cs="Times New Roman"/>
          <w:sz w:val="24"/>
          <w:szCs w:val="24"/>
        </w:rPr>
      </w:pPr>
      <w:r w:rsidRPr="00EE6160">
        <w:rPr>
          <w:rFonts w:ascii="Times New Roman" w:hAnsi="Times New Roman" w:cs="Times New Roman"/>
          <w:sz w:val="24"/>
          <w:szCs w:val="24"/>
        </w:rPr>
        <w:t>TAŞINMAZLAR SATILACAKTIR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bCs/>
          <w:sz w:val="24"/>
          <w:szCs w:val="24"/>
        </w:rPr>
        <w:t>Antalya İli Alanya İlçesi Milli Emlak Müdürlüğünden:</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tbl>
      <w:tblPr>
        <w:tblW w:w="14175" w:type="dxa"/>
        <w:tblInd w:w="567" w:type="dxa"/>
        <w:tblCellMar>
          <w:left w:w="0" w:type="dxa"/>
          <w:right w:w="0" w:type="dxa"/>
        </w:tblCellMar>
        <w:tblLook w:val="04A0"/>
      </w:tblPr>
      <w:tblGrid>
        <w:gridCol w:w="434"/>
        <w:gridCol w:w="674"/>
        <w:gridCol w:w="1460"/>
        <w:gridCol w:w="1220"/>
        <w:gridCol w:w="727"/>
        <w:gridCol w:w="1260"/>
        <w:gridCol w:w="675"/>
        <w:gridCol w:w="1227"/>
        <w:gridCol w:w="971"/>
        <w:gridCol w:w="835"/>
        <w:gridCol w:w="1485"/>
        <w:gridCol w:w="1300"/>
        <w:gridCol w:w="1220"/>
        <w:gridCol w:w="687"/>
      </w:tblGrid>
      <w:tr w:rsidR="0046556F" w:rsidRPr="00EE6160" w:rsidTr="008F4F60">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İşlem</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proofErr w:type="spellStart"/>
            <w:r w:rsidRPr="00EE6160">
              <w:rPr>
                <w:rStyle w:val="spelle"/>
                <w:rFonts w:ascii="Times New Roman" w:hAnsi="Times New Roman" w:cs="Times New Roman"/>
                <w:sz w:val="24"/>
                <w:szCs w:val="24"/>
              </w:rPr>
              <w:t>Meop</w:t>
            </w:r>
            <w:proofErr w:type="spellEnd"/>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No</w:t>
            </w:r>
          </w:p>
        </w:tc>
        <w:tc>
          <w:tcPr>
            <w:tcW w:w="140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Taşınmaz Yeri</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Ada/</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Parsel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Yüzölçümü</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(m²)</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Cinsi</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İmar Durumu</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Fiili Durumu</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Hazine Hissesi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Tahmini Bedel</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(TL)</w:t>
            </w:r>
          </w:p>
        </w:tc>
        <w:tc>
          <w:tcPr>
            <w:tcW w:w="1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Geçici Teminat</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(TL)</w:t>
            </w:r>
          </w:p>
        </w:tc>
        <w:tc>
          <w:tcPr>
            <w:tcW w:w="9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İhale</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Tarihi:</w:t>
            </w:r>
          </w:p>
        </w:tc>
        <w:tc>
          <w:tcPr>
            <w:tcW w:w="5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İhale Saati</w:t>
            </w:r>
          </w:p>
        </w:tc>
      </w:tr>
      <w:tr w:rsidR="0046556F" w:rsidRPr="00EE6160" w:rsidTr="008F4F6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Satış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Style w:val="grame"/>
                <w:rFonts w:ascii="Times New Roman" w:hAnsi="Times New Roman" w:cs="Times New Roman"/>
                <w:sz w:val="24"/>
                <w:szCs w:val="24"/>
              </w:rPr>
              <w:t>07030105434</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Konaklı Mah.</w:t>
            </w:r>
          </w:p>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w:t>
            </w:r>
            <w:proofErr w:type="spellStart"/>
            <w:r w:rsidRPr="00EE6160">
              <w:rPr>
                <w:rStyle w:val="spelle"/>
                <w:rFonts w:ascii="Times New Roman" w:hAnsi="Times New Roman" w:cs="Times New Roman"/>
                <w:sz w:val="24"/>
                <w:szCs w:val="24"/>
              </w:rPr>
              <w:t>Telatiye</w:t>
            </w:r>
            <w:proofErr w:type="spellEnd"/>
            <w:r w:rsidRPr="00EE6160">
              <w:rPr>
                <w:rFonts w:ascii="Times New Roman" w:hAnsi="Times New Roman" w:cs="Times New Roman"/>
                <w:sz w:val="24"/>
                <w:szCs w:val="24"/>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358 / 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1.872,35 m²</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Tarla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Günübirlik Turizm Tesis Alanı</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Yeşil Alan ve Çocuk Parkı</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Tam</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2.365.896,00-TL</w:t>
            </w:r>
          </w:p>
        </w:tc>
        <w:tc>
          <w:tcPr>
            <w:tcW w:w="1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709.750,00-TL</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23.08.2016</w:t>
            </w:r>
          </w:p>
        </w:tc>
        <w:tc>
          <w:tcPr>
            <w:tcW w:w="5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Style w:val="grame"/>
                <w:rFonts w:ascii="Times New Roman" w:hAnsi="Times New Roman" w:cs="Times New Roman"/>
                <w:sz w:val="24"/>
                <w:szCs w:val="24"/>
              </w:rPr>
              <w:t>10:00</w:t>
            </w:r>
          </w:p>
        </w:tc>
      </w:tr>
      <w:tr w:rsidR="0046556F" w:rsidRPr="00EE6160" w:rsidTr="008F4F6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Satış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Style w:val="grame"/>
                <w:rFonts w:ascii="Times New Roman" w:hAnsi="Times New Roman" w:cs="Times New Roman"/>
                <w:sz w:val="24"/>
                <w:szCs w:val="24"/>
              </w:rPr>
              <w:t>07030100865</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Mahmutlar Mah.</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 /2572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1.100,25 m²</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Hali Arazi</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Tercihli Kullanım Alanı</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Yeşil Alan ve Meyve Bahçesi</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Tam</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2.035.463,00-TL</w:t>
            </w:r>
          </w:p>
        </w:tc>
        <w:tc>
          <w:tcPr>
            <w:tcW w:w="1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610.630,00-TL</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23.08.2016</w:t>
            </w:r>
          </w:p>
        </w:tc>
        <w:tc>
          <w:tcPr>
            <w:tcW w:w="5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56F" w:rsidRPr="00EE6160" w:rsidRDefault="0046556F" w:rsidP="008F4F60">
            <w:pPr>
              <w:spacing w:line="20" w:lineRule="atLeast"/>
              <w:rPr>
                <w:rFonts w:ascii="Times New Roman" w:hAnsi="Times New Roman" w:cs="Times New Roman"/>
                <w:sz w:val="24"/>
                <w:szCs w:val="24"/>
              </w:rPr>
            </w:pPr>
            <w:r w:rsidRPr="00EE6160">
              <w:rPr>
                <w:rStyle w:val="grame"/>
                <w:rFonts w:ascii="Times New Roman" w:hAnsi="Times New Roman" w:cs="Times New Roman"/>
                <w:sz w:val="24"/>
                <w:szCs w:val="24"/>
              </w:rPr>
              <w:t>12:00</w:t>
            </w:r>
          </w:p>
        </w:tc>
      </w:tr>
    </w:tbl>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1 - Yukarıda nitelikleri belirtilen taşınmazların satış ihaleleri 2886 sayılı Devlet İhale Kanununun 45. maddesi uyarınca Açık Teklif Usulü ile karşısında yazılı tarih ve saatte Alanya Milli Emlak Müdürlüğünde toplanacak komisyonca yapılacaktır.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2 - 1 no.lu taşınmaz Kültür ve Turizm Bakanlığınca</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09/09/2005</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tarihinde onaylı 1/1000 ölçekli Revizyon Uygulama İmar Planında olup, taşınmazın tamamı Günübirlik Turizm Tesis Alanı içerisinde kalmaktadır. Taşınmaz üzerinde konaklama üniteleri içermeyen sadece günlük ihtiyaçları karşılamaya yönelik duş, gölgelik, soyunma kabini,</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wc</w:t>
      </w:r>
      <w:proofErr w:type="spellEnd"/>
      <w:r w:rsidRPr="00EE6160">
        <w:rPr>
          <w:rFonts w:ascii="Times New Roman" w:hAnsi="Times New Roman" w:cs="Times New Roman"/>
          <w:sz w:val="24"/>
          <w:szCs w:val="24"/>
        </w:rPr>
        <w:t>, büfe, lokanta, pastane, çayhane vb. tesisler yapılabilir. Yan bahçeye çekme mesafesi 5 metredir. Maksimum E=0,20, yapı yüksekliği en fazla 4,50 m olacaktır. Aynı parsel bütününde kalan günübirlik turizm tesisleri, parsel içinde yapılacak turistik tesislerin tamamlayıcısı olabilir. İnşaat emsali imar parseli bütünü üzerinden hesaplanır, ancak İmar planında GT ile işaretli alanda yapılacak tesislerin toplam inşaat alanı GT ile gösterilen alanın 0,20 sini geçemez. Bu alanda minimum ifraz 1.000,00 m²’</w:t>
      </w:r>
      <w:proofErr w:type="spellStart"/>
      <w:r w:rsidRPr="00EE6160">
        <w:rPr>
          <w:rFonts w:ascii="Times New Roman" w:hAnsi="Times New Roman" w:cs="Times New Roman"/>
          <w:sz w:val="24"/>
          <w:szCs w:val="24"/>
        </w:rPr>
        <w:t>dir</w:t>
      </w:r>
      <w:proofErr w:type="spellEnd"/>
      <w:r w:rsidRPr="00EE6160">
        <w:rPr>
          <w:rFonts w:ascii="Times New Roman" w:hAnsi="Times New Roman" w:cs="Times New Roman"/>
          <w:sz w:val="24"/>
          <w:szCs w:val="24"/>
        </w:rPr>
        <w:t>.</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3 - 2 no.lu taşınmaz 1/1000 ölçekli Uygulama İmar Planında Tercihli Kullanım Alanında kalmaktadır. TAKS: 0,25 KAKS: 1,50 olmak üzere 6 kat olup, söz konusu parsel çekme sınırı içinde kaldığından tek başına inşaat yapılamaz.</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4 - Şartname ve ekleri mesai saatleri içinde talep edilmesi halinde Alanya Milli Emlak Müdürlüğünden bedelsiz olarak temin edilebilir.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5 - Yukarıda nitelikleri belirtilen taşınmazların satış bedeli, talep edilmesi halinde 4706 SK 5. maddesine göre satış bedelinin en az dörtte biri peşin kalanı en fazla iki yılda ve taksitlerle kanuni faizi ile birlikte ödenir. Müşteriden satış bedeli haricinde KDV, Vergi, Resim ve Harç alınmayacaktır. Taşınmazlar satış tarihinden itibaren 5 yıl süreyle emlak vergisinden muaftır.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6 - İhaleye iştirak etmek isteyenler;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a) Geçici Teminatı (Tedavüldeki Türk parası, mevduat ve katılım Bankalarının verecekleri süresiz teminat mektupları 2886 Sayılı Kanuna göre banka limiti ve kullandırılan limitleri de göstermesi ve Hazine Müsteşarlığınca ihraç edilen Devlet İç borçlanma senetleri veya bu senetler yerine düzenlenen belgeleri)</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b) Tebligat için Türkiye de adres göstermeleri,</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c) Gerçek kişilerin T.C. Kimlik numarasını bildirmeleri ve nüfus cüzdan suretini vermeleri, (aslı ihale sırasında ibraz edilecektir.) Özel hukuk tüzel kişilerin yukarıda belirtilen şartlardan ayrı olarak vergi kimlik numaralarını bildirmeleri, İdare merkezlerinin bulunduğu yer mahkemesinden veya siciline kayıtlı bulunduğu Ticaret ve Sanayi Odasından veya benzeri meslek kuruluşundan,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vekaletnameyi</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vermeleri; Kamu Tüzel Kişilerinin ise yukarıdaki (a) ve (c) bentlerinde belirtilen şartlardan ayrı olarak tüzel kişilik adına ihaleye katılacak veya teklifte bulunacak kişilerin tüzel kişiliği temsilen yetkili olduğunu belirtir belgeyi vermeleri.</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d) Müşterek isteklilerde taliplilerin hisse miktarlarını da belirtir noter tasdikli sözleşme veya Ortak girişim Beyannamesini (Beyannamenin düzenlenmesi halinde noter tasdiki zorunludur.) İhale saatinden önce Komisyon Başkanlığına vermeleri zorunludur.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7 - Halen haklarında ihalelerden yasaklama kararı bulunan tüzel ve gerçek kişiler (kendi adına veya temsilen) ihalelere katılamayacaklardır. Bu kişilere ihale yapılmış olsa bile ihale iptal edilecektir.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8 - Posta ile yapılacak müracaatlarda teklifin 2886 Sayılı Devlet İhale Kanunu’nun 37. maddesine uygun hazırlanması ve teklifin ihale saatinden önce Komisyona ulaşması şarttır. Postada meydana gelebilecek gecikmelerden dolayı İdare ve İhale Komisyonu sorumlu değildir.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9 - Komisyon gerekçesini açıklayarak ihaleyi yapıp yapmamakta serbesttir.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İlan olunur.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Telefon: 0 242 511 66</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28    </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Faks</w:t>
      </w:r>
      <w:r w:rsidRPr="00EE6160">
        <w:rPr>
          <w:rFonts w:ascii="Times New Roman" w:hAnsi="Times New Roman" w:cs="Times New Roman"/>
          <w:sz w:val="24"/>
          <w:szCs w:val="24"/>
        </w:rPr>
        <w:t>: 0 242 513 77 25 - www.</w:t>
      </w:r>
      <w:proofErr w:type="spellStart"/>
      <w:r w:rsidRPr="00EE6160">
        <w:rPr>
          <w:rFonts w:ascii="Times New Roman" w:hAnsi="Times New Roman" w:cs="Times New Roman"/>
          <w:sz w:val="24"/>
          <w:szCs w:val="24"/>
        </w:rPr>
        <w:t>milliemlak</w:t>
      </w:r>
      <w:proofErr w:type="spellEnd"/>
      <w:r w:rsidRPr="00EE6160">
        <w:rPr>
          <w:rFonts w:ascii="Times New Roman" w:hAnsi="Times New Roman" w:cs="Times New Roman"/>
          <w:sz w:val="24"/>
          <w:szCs w:val="24"/>
        </w:rPr>
        <w:t>.gov.tr adresinden de takip edilebilir.</w:t>
      </w:r>
    </w:p>
    <w:p w:rsidR="0046556F" w:rsidRPr="00EE6160" w:rsidRDefault="0046556F" w:rsidP="0046556F">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7350/1-1</w:t>
      </w:r>
    </w:p>
    <w:p w:rsidR="005A66E9" w:rsidRDefault="005A66E9"/>
    <w:sectPr w:rsidR="005A66E9" w:rsidSect="0046556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46556F"/>
    <w:rsid w:val="00182611"/>
    <w:rsid w:val="00293AF4"/>
    <w:rsid w:val="003A7A7B"/>
    <w:rsid w:val="0046556F"/>
    <w:rsid w:val="00472103"/>
    <w:rsid w:val="005A66E9"/>
    <w:rsid w:val="00640992"/>
    <w:rsid w:val="00824DE8"/>
    <w:rsid w:val="008F5A9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5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6556F"/>
  </w:style>
  <w:style w:type="character" w:customStyle="1" w:styleId="spelle">
    <w:name w:val="spelle"/>
    <w:basedOn w:val="VarsaylanParagrafYazTipi"/>
    <w:rsid w:val="0046556F"/>
  </w:style>
  <w:style w:type="character" w:customStyle="1" w:styleId="grame">
    <w:name w:val="grame"/>
    <w:basedOn w:val="VarsaylanParagrafYazTipi"/>
    <w:rsid w:val="004655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2016-08-11T13:56:00Z</dcterms:created>
  <dcterms:modified xsi:type="dcterms:W3CDTF">2016-08-11T13:56:00Z</dcterms:modified>
</cp:coreProperties>
</file>